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23.svg" ContentType="image/svg+xml"/>
  <Override PartName="/word/media/rId65.png" ContentType="image/png"/>
  <Override PartName="/word/media/rId4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This Is Not the ex-Gaussian Model You Are Looking For: On the Default Parameterization of Bayesian ex-Gaussian Models in brms</w:t>
      </w:r>
    </w:p>
    <w:p>
      <w:pPr>
        <w:pStyle w:val="Author"/>
      </w:pPr>
      <w:r>
        <w:t xml:space="preserve"> </w:t>
      </w:r>
    </w:p>
    <w:p>
      <w:pPr>
        <w:pStyle w:val="Author"/>
      </w:pPr>
      <w:r>
        <w:t xml:space="preserve">Jason Geller</w:t>
      </w:r>
      <w:r>
        <w:rPr>
          <w:vertAlign w:val="superscript"/>
        </w:rPr>
        <w:t xml:space="preserve">1</w:t>
      </w:r>
      <w:r>
        <w:t xml:space="preserve">, Bernhard Angele</w:t>
      </w:r>
      <w:r>
        <w:rPr>
          <w:vertAlign w:val="superscript"/>
        </w:rPr>
        <w:t xml:space="preserve">2</w:t>
      </w:r>
      <w:r>
        <w:t xml:space="preserve">, and Dominique Makowski</w:t>
      </w:r>
      <w:r>
        <w:rPr>
          <w:vertAlign w:val="superscript"/>
        </w:rPr>
        <w:t xml:space="preserve">3</w:t>
      </w:r>
    </w:p>
    <w:p>
      <w:pPr>
        <w:pStyle w:val="Author"/>
      </w:pPr>
      <w:r>
        <w:rPr>
          <w:vertAlign w:val="superscript"/>
        </w:rPr>
        <w:t xml:space="preserve">1</w:t>
      </w:r>
      <w:r>
        <w:t xml:space="preserve">Department of Psychology and Neuroscience, Boston College</w:t>
      </w:r>
    </w:p>
    <w:p>
      <w:pPr>
        <w:pStyle w:val="Author"/>
      </w:pPr>
      <w:r>
        <w:rPr>
          <w:vertAlign w:val="superscript"/>
        </w:rPr>
        <w:t xml:space="preserve">2</w:t>
      </w:r>
      <w:r>
        <w:t xml:space="preserve">Nebrija University</w:t>
      </w:r>
    </w:p>
    <w:p>
      <w:pPr>
        <w:pStyle w:val="Author"/>
      </w:pPr>
      <w:r>
        <w:rPr>
          <w:vertAlign w:val="superscript"/>
        </w:rPr>
        <w:t xml:space="preserve">3</w:t>
      </w:r>
      <w:r>
        <w:t xml:space="preserve">School of Psychology, University of Sussex</w:t>
      </w:r>
    </w:p>
    <w:p>
      <w:pPr>
        <w:pStyle w:val="BodyText"/>
      </w:pPr>
      <w:r>
        <w:t xml:space="preserve"> </w:t>
      </w:r>
    </w:p>
    <w:p>
      <w:pPr>
        <w:pStyle w:val="BodyText"/>
      </w:pPr>
      <w:r>
        <w:t xml:space="preserve"> </w:t>
      </w:r>
    </w:p>
    <w:bookmarkEnd w:id="22"/>
    <w:bookmarkStart w:id="37" w:name="author-note"/>
    <w:p>
      <w:pPr>
        <w:pStyle w:val="Heading1"/>
      </w:pPr>
      <w:r>
        <w:t xml:space="preserve">Author Note</w:t>
      </w:r>
    </w:p>
    <w:p>
      <w:pPr>
        <w:pStyle w:val="FirstParagraph"/>
      </w:pPr>
      <w:r>
        <w:t xml:space="preserve">Jason Geller</w:t>
      </w:r>
      <w:r>
        <w:t xml:space="preserve"> </w:t>
      </w:r>
      <w:bookmarkStart w:id="26" w:name="orcid"/>
      <w:r>
        <w:drawing>
          <wp:inline>
            <wp:extent cx="152279" cy="152279"/>
            <wp:effectExtent b="0" l="0" r="0" t="0"/>
            <wp:docPr descr="Orcid ID Logo: A green circle with white letters ID" title="" id="24" name="Picture"/>
            <a:graphic>
              <a:graphicData uri="http://schemas.openxmlformats.org/drawingml/2006/picture">
                <pic:pic>
                  <pic:nvPicPr>
                    <pic:cNvPr descr="_extensions/wjschne/apaquarto/ORCID-iD_icon-vector.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26"/>
      <w:r>
        <w:t xml:space="preserve"> </w:t>
      </w:r>
      <w:hyperlink r:id="rId27">
        <w:r>
          <w:rPr>
            <w:rStyle w:val="Hyperlink"/>
          </w:rPr>
          <w:t xml:space="preserve">https://orcid.org/0000-0002-7459-4505</w:t>
        </w:r>
      </w:hyperlink>
    </w:p>
    <w:p>
      <w:pPr>
        <w:pStyle w:val="BodyText"/>
      </w:pPr>
      <w:r>
        <w:t xml:space="preserve">Bernhard Angele</w:t>
      </w:r>
      <w:r>
        <w:t xml:space="preserve"> </w:t>
      </w:r>
      <w:bookmarkStart w:id="30" w:name="orcid"/>
      <w:r>
        <w:drawing>
          <wp:inline>
            <wp:extent cx="152279" cy="152279"/>
            <wp:effectExtent b="0" l="0" r="0" t="0"/>
            <wp:docPr descr="Orcid ID Logo: A green circle with white letters ID" title="" id="28" name="Picture"/>
            <a:graphic>
              <a:graphicData uri="http://schemas.openxmlformats.org/drawingml/2006/picture">
                <pic:pic>
                  <pic:nvPicPr>
                    <pic:cNvPr descr="_extensions/wjschne/apaquarto/ORCID-iD_icon-vector.svg"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30"/>
      <w:r>
        <w:t xml:space="preserve"> </w:t>
      </w:r>
      <w:hyperlink r:id="rId31">
        <w:r>
          <w:rPr>
            <w:rStyle w:val="Hyperlink"/>
          </w:rPr>
          <w:t xml:space="preserve">https://orcid.org/0000-0001-8989-8555</w:t>
        </w:r>
      </w:hyperlink>
    </w:p>
    <w:p>
      <w:pPr>
        <w:pStyle w:val="BodyText"/>
      </w:pPr>
      <w:r>
        <w:t xml:space="preserve">Dominique Makowski</w:t>
      </w:r>
      <w:r>
        <w:t xml:space="preserve"> </w:t>
      </w:r>
      <w:bookmarkStart w:id="34" w:name="orcid"/>
      <w:r>
        <w:drawing>
          <wp:inline>
            <wp:extent cx="152279" cy="152279"/>
            <wp:effectExtent b="0" l="0" r="0" t="0"/>
            <wp:docPr descr="Orcid ID Logo: A green circle with white letters ID" title="" id="32" name="Picture"/>
            <a:graphic>
              <a:graphicData uri="http://schemas.openxmlformats.org/drawingml/2006/picture">
                <pic:pic>
                  <pic:nvPicPr>
                    <pic:cNvPr descr="_extensions/wjschne/apaquarto/ORCID-iD_icon-vector.sv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34"/>
      <w:r>
        <w:t xml:space="preserve"> </w:t>
      </w:r>
      <w:hyperlink r:id="rId35">
        <w:r>
          <w:rPr>
            <w:rStyle w:val="Hyperlink"/>
          </w:rPr>
          <w:t xml:space="preserve">https://orcid.org/0000-0001-5375-9967</w:t>
        </w:r>
      </w:hyperlink>
    </w:p>
    <w:p>
      <w:pPr>
        <w:pStyle w:val="BodyText"/>
      </w:pPr>
      <w:r>
        <w:t xml:space="preserve">The analyses herein were not preregistered. Data, code, and materials for this manuscript are available at https://github.com/jgeller112/exGauss_commentary. The entire manuscript, including all analyses and figures, can be reproduced by downloading the repository and following the instructions in its README. The authors have no conflicts of interest to disclose.</w:t>
      </w:r>
    </w:p>
    <w:p>
      <w:pPr>
        <w:pStyle w:val="BodyText"/>
      </w:pPr>
      <w:r>
        <w:t xml:space="preserve">Author roles were classified using the Contributor Role Taxonomy (CRediT; https://credit.niso.org/) as follows: </w:t>
      </w:r>
      <w:r>
        <w:rPr>
          <w:i/>
          <w:iCs/>
        </w:rPr>
        <w:t xml:space="preserve">Jason Geller</w:t>
      </w:r>
      <w:r>
        <w:rPr>
          <w:b/>
          <w:bCs/>
        </w:rPr>
        <w:t xml:space="preserve">: </w:t>
      </w:r>
      <w:r>
        <w:t xml:space="preserve">conceptualization, data curation, formal analysis, project administration, resources, visualization, and writing – original draft. </w:t>
      </w:r>
      <w:r>
        <w:rPr>
          <w:i/>
          <w:iCs/>
        </w:rPr>
        <w:t xml:space="preserve">Bernhard Angele</w:t>
      </w:r>
      <w:r>
        <w:rPr>
          <w:b/>
          <w:bCs/>
        </w:rPr>
        <w:t xml:space="preserve">: </w:t>
      </w:r>
      <w:r>
        <w:t xml:space="preserve">formal analysis, validation, writing – original draft, and Writing - review &amp; editing. </w:t>
      </w:r>
      <w:r>
        <w:rPr>
          <w:i/>
          <w:iCs/>
        </w:rPr>
        <w:t xml:space="preserve">Dominique Makowski</w:t>
      </w:r>
      <w:r>
        <w:rPr>
          <w:b/>
          <w:bCs/>
        </w:rPr>
        <w:t xml:space="preserve">: </w:t>
      </w:r>
      <w:r>
        <w:t xml:space="preserve">formal analysis, validation, software, and Writing - review &amp; editing</w:t>
      </w:r>
    </w:p>
    <w:p>
      <w:pPr>
        <w:pStyle w:val="BodyText"/>
      </w:pPr>
      <w:r>
        <w:t xml:space="preserve">Correspondence concerning this article should be addressed to Jason Geller, Department of Psychology and Neuroscience, Boston College, McGuinn 300, Chestnut Hill, MA 2467, USA, Email:</w:t>
      </w:r>
      <w:r>
        <w:t xml:space="preserve"> </w:t>
      </w:r>
      <w:hyperlink r:id="rId36">
        <w:r>
          <w:rPr>
            <w:rStyle w:val="Hyperlink"/>
          </w:rPr>
          <w:t xml:space="preserve">drjasongeller@gmail.com</w:t>
        </w:r>
      </w:hyperlink>
    </w:p>
    <w:p>
      <w:r>
        <w:br w:type="page"/>
      </w:r>
    </w:p>
    <w:bookmarkEnd w:id="37"/>
    <w:bookmarkStart w:id="38" w:name="abstract"/>
    <w:p>
      <w:pPr>
        <w:pStyle w:val="Heading1"/>
      </w:pPr>
      <w:r>
        <w:t xml:space="preserve">Abstract</w:t>
      </w:r>
    </w:p>
    <w:p>
      <w:pPr>
        <w:pStyle w:val="AbstractFirstParagraph"/>
      </w:pPr>
      <w:r>
        <w:t xml:space="preserve">The ex-Gaussian distribution is a popular mathematical model for analyzing response time (RT) data because it separates the central portion of the distribution, captured by the Gaussian parameters</w:t>
      </w:r>
      <w:r>
        <w:t xml:space="preserve"> </w:t>
      </w:r>
      <m:oMath>
        <m:r>
          <m:t>μ</m:t>
        </m:r>
      </m:oMath>
      <w:r>
        <w:t xml:space="preserve"> </w:t>
      </w:r>
      <w:r>
        <w:t xml:space="preserve">and</w:t>
      </w:r>
      <w:r>
        <w:t xml:space="preserve"> </w:t>
      </w:r>
      <m:oMath>
        <m:r>
          <m:t>σ</m:t>
        </m:r>
      </m:oMath>
      <w:r>
        <w:t xml:space="preserve">, from the positively skewed tail, captured by the exponential parameter</w:t>
      </w:r>
      <w:r>
        <w:t xml:space="preserve"> </w:t>
      </w:r>
      <m:oMath>
        <m:r>
          <m:t>τ</m:t>
        </m:r>
      </m:oMath>
      <w:r>
        <w:t xml:space="preserve">. Researchers often use these parameters to make inferences about underlying cognitive processes. As Bayesian methods have become increasingly accessible, complex ex-Gaussian models can now be fit with relative ease, and in R, the {brms} package makes this especially straightforward. However, it is important to recognize that the default parameterization offered by {brms} does not map onto the classical parameterization familiar to many researchers in experimental psychology in the default model,</w:t>
      </w:r>
      <w:r>
        <w:t xml:space="preserve"> </w:t>
      </w:r>
      <m:oMath>
        <m:r>
          <m:t>μ</m:t>
        </m:r>
      </m:oMath>
      <w:r>
        <w:t xml:space="preserve"> </w:t>
      </w:r>
      <w:r>
        <w:t xml:space="preserve">indexes the mean of the full ex-Gaussian distribution rather than the location of the Gaussian component alone. This distinction matters because changes in the Gaussian location and changes in the exponential tail can offset one another at the level of the overall mean, so some published studies may have drawn incorrect inferences from effects estimated on the default</w:t>
      </w:r>
      <w:r>
        <w:t xml:space="preserve"> </w:t>
      </w:r>
      <m:oMath>
        <m:r>
          <m:t>μ</m:t>
        </m:r>
      </m:oMath>
      <w:r>
        <w:t xml:space="preserve"> </w:t>
      </w:r>
      <w:r>
        <w:t xml:space="preserve">parameter. Using simulated data and a published finding we highlight how using the default parameterization can lead to misleading inferences. We then demonstrate how to fit the classical parameterization directly using the {cogmod} package, with the aim of helping researchers and reviewers align ex-Gaussian model parameters with their theoretical questions.</w:t>
      </w:r>
    </w:p>
    <w:p>
      <w:pPr>
        <w:pStyle w:val="BodyText"/>
      </w:pPr>
      <w:r>
        <w:rPr>
          <w:i/>
          <w:iCs/>
        </w:rPr>
        <w:t xml:space="preserve">Keywords</w:t>
      </w:r>
      <w:r>
        <w:t xml:space="preserve">: ex-Gaussian, reaction time, Bayesian estimation, brms, parameterization</w:t>
      </w:r>
    </w:p>
    <w:p>
      <w:pPr>
        <w:pStyle w:val="BodyText"/>
      </w:pPr>
      <w:r>
        <w:rPr>
          <w:i/>
          <w:iCs/>
        </w:rPr>
        <w:t xml:space="preserve">Word Count</w:t>
      </w:r>
      <w:r>
        <w:t xml:space="preserve">: 5202</w:t>
      </w:r>
    </w:p>
    <w:p>
      <w:r>
        <w:br w:type="page"/>
      </w:r>
    </w:p>
    <w:bookmarkEnd w:id="38"/>
    <w:bookmarkStart w:id="39" w:name="firstheader"/>
    <w:p>
      <w:pPr>
        <w:pStyle w:val="Heading1"/>
      </w:pPr>
      <w:r>
        <w:t xml:space="preserve">This Is Not the ex-Gaussian Model You Are Looking For: On the Default Parameterization of Bayesian ex-Gaussian Models in brms</w:t>
      </w:r>
    </w:p>
    <w:p>
      <w:pPr>
        <w:pStyle w:val="FirstParagraph"/>
      </w:pPr>
      <w:r>
        <w:t xml:space="preserve">Over the past two decades, psychology has seen a substantial rise in the application of Bayesian data analysis methods as a supplement to widely used frequentist methods</w:t>
      </w:r>
      <w:r>
        <w:t xml:space="preserve"> </w:t>
      </w:r>
      <w:r>
        <w:t xml:space="preserve">(</w:t>
      </w:r>
      <w:hyperlink w:anchor="ref-pfadt2025methodological">
        <w:r>
          <w:rPr>
            <w:rStyle w:val="Hyperlink"/>
          </w:rPr>
          <w:t xml:space="preserve">Pfadt et al., 2025</w:t>
        </w:r>
      </w:hyperlink>
      <w:r>
        <w:t xml:space="preserve">)</w:t>
      </w:r>
      <w:r>
        <w:t xml:space="preserve">. This shift has been driven by the increasing availability of computational tools that have made fitting Bayesian models both practical and efficient. Programming languages like R</w:t>
      </w:r>
      <w:r>
        <w:t xml:space="preserve"> </w:t>
      </w:r>
      <w:r>
        <w:t xml:space="preserve">(</w:t>
      </w:r>
      <w:hyperlink w:anchor="ref-R">
        <w:r>
          <w:rPr>
            <w:rStyle w:val="Hyperlink"/>
          </w:rPr>
          <w:t xml:space="preserve">R Core Team, 2026</w:t>
        </w:r>
      </w:hyperlink>
      <w:r>
        <w:t xml:space="preserve">)</w:t>
      </w:r>
      <w:r>
        <w:t xml:space="preserve">, Python</w:t>
      </w:r>
      <w:r>
        <w:t xml:space="preserve"> </w:t>
      </w:r>
      <w:r>
        <w:t xml:space="preserve">(</w:t>
      </w:r>
      <w:hyperlink w:anchor="ref-python">
        <w:r>
          <w:rPr>
            <w:rStyle w:val="Hyperlink"/>
          </w:rPr>
          <w:t xml:space="preserve">Van Rossum &amp; Drake, 2009</w:t>
        </w:r>
      </w:hyperlink>
      <w:r>
        <w:t xml:space="preserve">)</w:t>
      </w:r>
      <w:r>
        <w:t xml:space="preserve">, and Julia</w:t>
      </w:r>
      <w:r>
        <w:t xml:space="preserve"> </w:t>
      </w:r>
      <w:r>
        <w:t xml:space="preserve">(</w:t>
      </w:r>
      <w:hyperlink w:anchor="ref-julia">
        <w:r>
          <w:rPr>
            <w:rStyle w:val="Hyperlink"/>
          </w:rPr>
          <w:t xml:space="preserve">Bezanson et al., 2017</w:t>
        </w:r>
      </w:hyperlink>
      <w:r>
        <w:t xml:space="preserve">)</w:t>
      </w:r>
      <w:r>
        <w:t xml:space="preserve"> </w:t>
      </w:r>
      <w:r>
        <w:t xml:space="preserve">provide libraries and packages that allow researchers to fit Bayesian models with little technical overhead. In addition, growing dissatisfaction with the null ritual and its associated pitfalls (e.g., p-value misinterpretation and dichotomous thinking)</w:t>
      </w:r>
      <w:r>
        <w:t xml:space="preserve"> </w:t>
      </w:r>
      <w:r>
        <w:t xml:space="preserve">(</w:t>
      </w:r>
      <w:hyperlink w:anchor="ref-gigerenzer2018statistical">
        <w:r>
          <w:rPr>
            <w:rStyle w:val="Hyperlink"/>
          </w:rPr>
          <w:t xml:space="preserve">Gigerenzer, 2018</w:t>
        </w:r>
      </w:hyperlink>
      <w:r>
        <w:t xml:space="preserve">)</w:t>
      </w:r>
      <w:r>
        <w:t xml:space="preserve">, together with growing distrust of published findings, has pushed many researchers toward statistical alternatives</w:t>
      </w:r>
      <w:r>
        <w:t xml:space="preserve"> </w:t>
      </w:r>
      <w:r>
        <w:t xml:space="preserve">(</w:t>
      </w:r>
      <w:hyperlink w:anchor="ref-vazire2018">
        <w:r>
          <w:rPr>
            <w:rStyle w:val="Hyperlink"/>
          </w:rPr>
          <w:t xml:space="preserve">Vazire, 2018</w:t>
        </w:r>
      </w:hyperlink>
      <w:r>
        <w:t xml:space="preserve">)</w:t>
      </w:r>
      <w:r>
        <w:t xml:space="preserve">.</w:t>
      </w:r>
    </w:p>
    <w:p>
      <w:pPr>
        <w:pStyle w:val="BodyText"/>
      </w:pPr>
      <w:r>
        <w:t xml:space="preserve">One domain that has seen increased adoption of Bayesian methods is experimental psychology, where one of the most common dependent variables is response times (RT), which is a measure of how long it takes a person to initiate a response (e.g., motor, written, or spoken) to a stimulus. RT data offers a window into cognitive processes underlying behavior</w:t>
      </w:r>
      <w:r>
        <w:t xml:space="preserve"> </w:t>
      </w:r>
      <w:r>
        <w:t xml:space="preserve">(</w:t>
      </w:r>
      <w:hyperlink w:anchor="ref-baayen2010analyzing">
        <w:r>
          <w:rPr>
            <w:rStyle w:val="Hyperlink"/>
          </w:rPr>
          <w:t xml:space="preserve">Baayen &amp; Milin, 2010</w:t>
        </w:r>
      </w:hyperlink>
      <w:r>
        <w:t xml:space="preserve">)</w:t>
      </w:r>
      <w:r>
        <w:t xml:space="preserve">. Traditionally, RT data have been analyzed using summary statistics such as the mean or median. However, RT distributions are typically positively skewed, bounded at zero, and characterized by substantial variability both within and between individuals</w:t>
      </w:r>
      <w:r>
        <w:t xml:space="preserve"> </w:t>
      </w:r>
      <w:r>
        <w:t xml:space="preserve">(</w:t>
      </w:r>
      <w:hyperlink w:anchor="ref-whelan2008">
        <w:r>
          <w:rPr>
            <w:rStyle w:val="Hyperlink"/>
          </w:rPr>
          <w:t xml:space="preserve">Whelan, 2008</w:t>
        </w:r>
      </w:hyperlink>
      <w:r>
        <w:t xml:space="preserve">;</w:t>
      </w:r>
      <w:r>
        <w:t xml:space="preserve"> </w:t>
      </w:r>
      <w:hyperlink w:anchor="ref-wilcox">
        <w:r>
          <w:rPr>
            <w:rStyle w:val="Hyperlink"/>
          </w:rPr>
          <w:t xml:space="preserve">Wilcox &amp; Keselman, 2003</w:t>
        </w:r>
      </w:hyperlink>
      <w:r>
        <w:t xml:space="preserve">)</w:t>
      </w:r>
      <w:r>
        <w:t xml:space="preserve">. Moreover, experimental manipulations may affect not only the central tendency of the distribution but also its variability or upper tail. Consequently, analyses based solely on the mean or median can obscure theoretically meaningful distributional effects, motivating calls to move beyond mean-based analyses of RT data</w:t>
      </w:r>
      <w:r>
        <w:t xml:space="preserve"> </w:t>
      </w:r>
      <w:r>
        <w:t xml:space="preserve">(</w:t>
      </w:r>
      <w:hyperlink w:anchor="ref-balota2011">
        <w:r>
          <w:rPr>
            <w:rStyle w:val="Hyperlink"/>
          </w:rPr>
          <w:t xml:space="preserve">Balota &amp; Yap, 2011</w:t>
        </w:r>
      </w:hyperlink>
      <w:r>
        <w:t xml:space="preserve">)</w:t>
      </w:r>
      <w:r>
        <w:t xml:space="preserve">.</w:t>
      </w:r>
    </w:p>
    <w:p>
      <w:pPr>
        <w:pStyle w:val="BodyText"/>
      </w:pPr>
      <w:r>
        <w:t xml:space="preserve">One way to move beyond the mean is to model the full shape of the RT distribution. Mathematical models provide a flexible way to do so, allowing researchers to draw inferences about the psychological processes—such as memory, attention, and language—that give rise to observed response times. One model that has become especially popular for this purpose is the ex-Gaussian model</w:t>
      </w:r>
      <w:r>
        <w:t xml:space="preserve"> </w:t>
      </w:r>
      <w:r>
        <w:t xml:space="preserve">(</w:t>
      </w:r>
      <w:hyperlink w:anchor="ref-ratcliff1976">
        <w:r>
          <w:rPr>
            <w:rStyle w:val="Hyperlink"/>
          </w:rPr>
          <w:t xml:space="preserve">Ratcliff &amp; Murdock, 1976</w:t>
        </w:r>
      </w:hyperlink>
      <w:r>
        <w:t xml:space="preserve">)</w:t>
      </w:r>
      <w:r>
        <w:t xml:space="preserve">. The ex-Gaussian distribution is formed by the convolution of a Gaussian distribution and an exponential distribution and is characterized by three parameters:</w:t>
      </w:r>
      <w:r>
        <w:t xml:space="preserve"> </w:t>
      </w:r>
      <m:oMath>
        <m:r>
          <m:t>μ</m:t>
        </m:r>
      </m:oMath>
      <w:r>
        <w:t xml:space="preserve">,</w:t>
      </w:r>
      <w:r>
        <w:t xml:space="preserve"> </w:t>
      </w:r>
      <m:oMath>
        <m:r>
          <m:t>σ</m:t>
        </m:r>
      </m:oMath>
      <w:r>
        <w:t xml:space="preserve">, and</w:t>
      </w:r>
      <w:r>
        <w:t xml:space="preserve"> </w:t>
      </w:r>
      <m:oMath>
        <m:r>
          <m:t>τ</m:t>
        </m:r>
      </m:oMath>
      <w:r>
        <w:t xml:space="preserve">. The parameter</w:t>
      </w:r>
      <w:r>
        <w:t xml:space="preserve"> </w:t>
      </w:r>
      <m:oMath>
        <m:r>
          <m:t>μ</m:t>
        </m:r>
      </m:oMath>
      <w:r>
        <w:t xml:space="preserve"> </w:t>
      </w:r>
      <w:r>
        <w:t xml:space="preserve">represents the mean of the Gaussian component, whereas</w:t>
      </w:r>
      <w:r>
        <w:t xml:space="preserve"> </w:t>
      </w:r>
      <m:oMath>
        <m:r>
          <m:t>σ</m:t>
        </m:r>
      </m:oMath>
      <w:r>
        <w:t xml:space="preserve"> </w:t>
      </w:r>
      <w:r>
        <w:t xml:space="preserve">represents its standard deviation. The</w:t>
      </w:r>
      <w:r>
        <w:t xml:space="preserve"> </w:t>
      </w:r>
      <m:oMath>
        <m:r>
          <m:t>τ</m:t>
        </m:r>
      </m:oMath>
      <w:r>
        <w:t xml:space="preserve"> </w:t>
      </w:r>
      <w:r>
        <w:t xml:space="preserve">parameter represents both the mean and standard deviation of the exponential component and primarily governs the length of the distribution’s positively skewed upper tail. The overall mean of the ex-Gaussian distribution is</w:t>
      </w:r>
      <w:r>
        <w:t xml:space="preserve"> </w:t>
      </w:r>
      <m:oMath>
        <m:r>
          <m:t>μ</m:t>
        </m:r>
      </m:oMath>
      <w:r>
        <w:t xml:space="preserve"> </w:t>
      </w:r>
      <w:r>
        <w:t xml:space="preserve">+</w:t>
      </w:r>
      <w:r>
        <w:t xml:space="preserve"> </w:t>
      </w:r>
      <m:oMath>
        <m:r>
          <m:t>τ</m:t>
        </m:r>
      </m:oMath>
      <w:r>
        <w:t xml:space="preserve"> </w:t>
      </w:r>
      <w:r>
        <w:t xml:space="preserve">, and the standard deviation (SD) is</w:t>
      </w:r>
      <w:r>
        <w:t xml:space="preserve"> </w:t>
      </w:r>
      <m:oMath>
        <m:rad>
          <m:radPr>
            <m:degHide m:val="on"/>
          </m:radPr>
          <m:deg/>
          <m:e>
            <m:sSup>
              <m:e>
                <m:r>
                  <m:t>σ</m:t>
                </m:r>
              </m:e>
              <m:sup>
                <m:r>
                  <m:t>2</m:t>
                </m:r>
              </m:sup>
            </m:sSup>
            <m:r>
              <m:rPr>
                <m:sty m:val="p"/>
              </m:rPr>
              <m:t>+</m:t>
            </m:r>
            <m:sSup>
              <m:e>
                <m:r>
                  <m:t>τ</m:t>
                </m:r>
              </m:e>
              <m:sup>
                <m:r>
                  <m:t>2</m:t>
                </m:r>
              </m:sup>
            </m:sSup>
          </m:e>
        </m:rad>
      </m:oMath>
      <w:r>
        <w:t xml:space="preserve"> </w:t>
      </w:r>
      <w:r>
        <w:t xml:space="preserve">. Although these parameters have been used to infer cognitive processes such as automaticity</w:t>
      </w:r>
      <w:r>
        <w:t xml:space="preserve"> </w:t>
      </w:r>
      <w:r>
        <w:t xml:space="preserve">(</w:t>
      </w:r>
      <w:hyperlink w:anchor="ref-balota2008">
        <w:r>
          <w:rPr>
            <w:rStyle w:val="Hyperlink"/>
          </w:rPr>
          <w:t xml:space="preserve">Balota et al., 2008</w:t>
        </w:r>
      </w:hyperlink>
      <w:r>
        <w:t xml:space="preserve">;</w:t>
      </w:r>
      <w:r>
        <w:t xml:space="preserve"> </w:t>
      </w:r>
      <w:hyperlink w:anchor="ref-dewitt2018">
        <w:r>
          <w:rPr>
            <w:rStyle w:val="Hyperlink"/>
          </w:rPr>
          <w:t xml:space="preserve">Dewitt et al., 2018</w:t>
        </w:r>
      </w:hyperlink>
      <w:r>
        <w:t xml:space="preserve">)</w:t>
      </w:r>
      <w:r>
        <w:t xml:space="preserve"> </w:t>
      </w:r>
      <w:r>
        <w:t xml:space="preserve">and cognitive control/inhibition</w:t>
      </w:r>
      <w:r>
        <w:t xml:space="preserve"> </w:t>
      </w:r>
      <w:r>
        <w:t xml:space="preserve">(</w:t>
      </w:r>
      <w:hyperlink w:anchor="ref-kane2003">
        <w:r>
          <w:rPr>
            <w:rStyle w:val="Hyperlink"/>
          </w:rPr>
          <w:t xml:space="preserve">Kane &amp; Engle, 2003</w:t>
        </w:r>
      </w:hyperlink>
      <w:r>
        <w:t xml:space="preserve">)</w:t>
      </w:r>
      <w:r>
        <w:t xml:space="preserve">, these interpretations are not inherent to the parameters and should be made cautiously</w:t>
      </w:r>
      <w:r>
        <w:t xml:space="preserve"> </w:t>
      </w:r>
      <w:r>
        <w:t xml:space="preserve">(</w:t>
      </w:r>
      <w:hyperlink w:anchor="ref-matzke2009">
        <w:r>
          <w:rPr>
            <w:rStyle w:val="Hyperlink"/>
          </w:rPr>
          <w:t xml:space="preserve">Matzke &amp; Wagenmakers, 2009</w:t>
        </w:r>
      </w:hyperlink>
      <w:r>
        <w:t xml:space="preserve">)</w:t>
      </w:r>
      <w:r>
        <w:t xml:space="preserve">. Nevertheless, the ex-Gaussian model can provide a more complete description of RT data than the arithmetic mean alone, which can be disproportionately influenced by the positively skewed tail of the distribution.</w:t>
      </w:r>
    </w:p>
    <w:p>
      <w:pPr>
        <w:pStyle w:val="BodyText"/>
      </w:pPr>
      <w:r>
        <w:t xml:space="preserve">The ex-Gaussian model can be fit within a Bayesian framework relatively easily using the {brms} package</w:t>
      </w:r>
      <w:r>
        <w:t xml:space="preserve"> </w:t>
      </w:r>
      <w:r>
        <w:t xml:space="preserve">(</w:t>
      </w:r>
      <w:hyperlink w:anchor="ref-brms2017">
        <w:r>
          <w:rPr>
            <w:rStyle w:val="Hyperlink"/>
          </w:rPr>
          <w:t xml:space="preserve">Bürkner, 2017</w:t>
        </w:r>
      </w:hyperlink>
      <w:r>
        <w:t xml:space="preserve">,</w:t>
      </w:r>
      <w:r>
        <w:t xml:space="preserve"> </w:t>
      </w:r>
      <w:hyperlink w:anchor="ref-brms2018">
        <w:r>
          <w:rPr>
            <w:rStyle w:val="Hyperlink"/>
          </w:rPr>
          <w:t xml:space="preserve">2018</w:t>
        </w:r>
      </w:hyperlink>
      <w:r>
        <w:t xml:space="preserve">,</w:t>
      </w:r>
      <w:r>
        <w:t xml:space="preserve"> </w:t>
      </w:r>
      <w:hyperlink w:anchor="ref-brms2021">
        <w:r>
          <w:rPr>
            <w:rStyle w:val="Hyperlink"/>
          </w:rPr>
          <w:t xml:space="preserve">2021</w:t>
        </w:r>
      </w:hyperlink>
      <w:r>
        <w:t xml:space="preserve">)</w:t>
      </w:r>
      <w:r>
        <w:t xml:space="preserve"> </w:t>
      </w:r>
      <w:r>
        <w:t xml:space="preserve">in R, which provides a high-level interface to the probabilistic programming language Stan</w:t>
      </w:r>
      <w:r>
        <w:t xml:space="preserve"> </w:t>
      </w:r>
      <w:r>
        <w:t xml:space="preserve">(</w:t>
      </w:r>
      <w:hyperlink w:anchor="ref-stan">
        <w:r>
          <w:rPr>
            <w:rStyle w:val="Hyperlink"/>
          </w:rPr>
          <w:t xml:space="preserve">Carpenter et al., 2017</w:t>
        </w:r>
      </w:hyperlink>
      <w:r>
        <w:t xml:space="preserve">)</w:t>
      </w:r>
      <w:r>
        <w:t xml:space="preserve">. The {brms} package supports a wide range of response distributions, including the ex-Gaussian family, and allows researchers to incorporate complex model structures at both the participant and item levels as well as across different parameters. This accessibility has contributed to the growing use of Bayesian ex-Gaussian models in reaction-time research</w:t>
      </w:r>
      <w:r>
        <w:t xml:space="preserve"> </w:t>
      </w:r>
      <w:r>
        <w:t xml:space="preserve">(see</w:t>
      </w:r>
      <w:r>
        <w:t xml:space="preserve"> </w:t>
      </w:r>
      <w:hyperlink w:anchor="ref-angele2023">
        <w:r>
          <w:rPr>
            <w:rStyle w:val="Hyperlink"/>
          </w:rPr>
          <w:t xml:space="preserve">Angele et al., 2023</w:t>
        </w:r>
      </w:hyperlink>
      <w:r>
        <w:t xml:space="preserve">,</w:t>
      </w:r>
      <w:r>
        <w:t xml:space="preserve"> </w:t>
      </w:r>
      <w:hyperlink w:anchor="ref-angele2024reading">
        <w:r>
          <w:rPr>
            <w:rStyle w:val="Hyperlink"/>
          </w:rPr>
          <w:t xml:space="preserve">2024</w:t>
        </w:r>
      </w:hyperlink>
      <w:r>
        <w:t xml:space="preserve">;</w:t>
      </w:r>
      <w:r>
        <w:t xml:space="preserve"> </w:t>
      </w:r>
      <w:hyperlink w:anchor="ref-geller2025">
        <w:r>
          <w:rPr>
            <w:rStyle w:val="Hyperlink"/>
          </w:rPr>
          <w:t xml:space="preserve">Geller et al., 2025</w:t>
        </w:r>
      </w:hyperlink>
      <w:r>
        <w:t xml:space="preserve">;</w:t>
      </w:r>
      <w:r>
        <w:t xml:space="preserve"> </w:t>
      </w:r>
      <w:hyperlink w:anchor="ref-kinoshita2023">
        <w:r>
          <w:rPr>
            <w:rStyle w:val="Hyperlink"/>
          </w:rPr>
          <w:t xml:space="preserve">Kinoshita &amp; Liong, 2023</w:t>
        </w:r>
      </w:hyperlink>
      <w:r>
        <w:t xml:space="preserve">;</w:t>
      </w:r>
      <w:r>
        <w:t xml:space="preserve"> </w:t>
      </w:r>
      <w:hyperlink w:anchor="ref-serranocarot2026">
        <w:r>
          <w:rPr>
            <w:rStyle w:val="Hyperlink"/>
          </w:rPr>
          <w:t xml:space="preserve">Serrano-Carot et al., 2026</w:t>
        </w:r>
      </w:hyperlink>
      <w:r>
        <w:t xml:space="preserve">)</w:t>
      </w:r>
      <w:r>
        <w:t xml:space="preserve">. However, an important complication arises from the default parameterization used by the R package {brms}. Although the model is straightforward to estimate, its default specification does not necessarily provide direct access to the parameter-specific comparisons researchers often wish to make.</w:t>
      </w:r>
    </w:p>
    <w:p>
      <w:pPr>
        <w:pStyle w:val="BodyText"/>
      </w:pPr>
      <w:r>
        <w:t xml:space="preserve">The central problem is that the parameter labeled</w:t>
      </w:r>
      <w:r>
        <w:t xml:space="preserve"> </w:t>
      </w:r>
      <m:oMath>
        <m:r>
          <m:t>μ</m:t>
        </m:r>
      </m:oMath>
      <w:r>
        <w:t xml:space="preserve"> </w:t>
      </w:r>
      <w:r>
        <w:t xml:space="preserve">in the default {brms} ex-Gaussian model does not correspond to the mean of the Gaussian component in the conventional parameterization. Instead, the quantity modeled as</w:t>
      </w:r>
      <w:r>
        <w:t xml:space="preserve"> </w:t>
      </w:r>
      <m:oMath>
        <m:r>
          <m:t>μ</m:t>
        </m:r>
      </m:oMath>
      <w:r>
        <w:t xml:space="preserve"> </w:t>
      </w:r>
      <w:r>
        <w:t xml:space="preserve">in {brms} represents the mean of the full ex-Gaussian distribution. Under the conventional parameterization, this quantity is equal to</w:t>
      </w:r>
      <w:r>
        <w:t xml:space="preserve"> </w:t>
      </w:r>
      <m:oMath>
        <m:sSub>
          <m:e>
            <m:r>
              <m:t>μ</m:t>
            </m:r>
          </m:e>
          <m:sub>
            <m:r>
              <m:rPr>
                <m:sty m:val="p"/>
              </m:rPr>
              <m:t>G</m:t>
            </m:r>
            <m:r>
              <m:rPr>
                <m:sty m:val="p"/>
              </m:rPr>
              <m:t>a</m:t>
            </m:r>
            <m:r>
              <m:rPr>
                <m:sty m:val="p"/>
              </m:rPr>
              <m:t>u</m:t>
            </m:r>
            <m:r>
              <m:rPr>
                <m:sty m:val="p"/>
              </m:rPr>
              <m:t>s</m:t>
            </m:r>
            <m:r>
              <m:rPr>
                <m:sty m:val="p"/>
              </m:rPr>
              <m:t>s</m:t>
            </m:r>
            <m:r>
              <m:rPr>
                <m:sty m:val="p"/>
              </m:rPr>
              <m:t>i</m:t>
            </m:r>
            <m:r>
              <m:rPr>
                <m:sty m:val="p"/>
              </m:rPr>
              <m:t>a</m:t>
            </m:r>
            <m:r>
              <m:rPr>
                <m:sty m:val="p"/>
              </m:rPr>
              <m:t>n</m:t>
            </m:r>
          </m:sub>
        </m:sSub>
        <m:r>
          <m:rPr>
            <m:sty m:val="p"/>
          </m:rPr>
          <m:t>+</m:t>
        </m:r>
        <m:r>
          <m:t>τ</m:t>
        </m:r>
      </m:oMath>
      <w:r>
        <w:t xml:space="preserve">. Consequently, regression effects estimated for the default</w:t>
      </w:r>
      <w:r>
        <w:t xml:space="preserve"> </w:t>
      </w:r>
      <m:oMath>
        <m:r>
          <m:t>μ</m:t>
        </m:r>
      </m:oMath>
      <w:r>
        <w:t xml:space="preserve"> </w:t>
      </w:r>
      <w:r>
        <w:t xml:space="preserve">parameter reflect changes in a composite quantity that combines the Gaussian location and exponential tail components. Such effects therefore cannot be interpreted directly as changes in the Gaussian component or in typical response speed. To recover the conventional Gaussian mean, it is necessary to derive it from the model parameters as</w:t>
      </w:r>
      <w:r>
        <w:t xml:space="preserve"> </w:t>
      </w:r>
      <m:oMath>
        <m:sSub>
          <m:e>
            <m:r>
              <m:t>μ</m:t>
            </m:r>
          </m:e>
          <m:sub>
            <m:r>
              <m:rPr>
                <m:sty m:val="p"/>
              </m:rPr>
              <m:t>G</m:t>
            </m:r>
            <m:r>
              <m:rPr>
                <m:sty m:val="p"/>
              </m:rPr>
              <m:t>a</m:t>
            </m:r>
            <m:r>
              <m:rPr>
                <m:sty m:val="p"/>
              </m:rPr>
              <m:t>u</m:t>
            </m:r>
            <m:r>
              <m:rPr>
                <m:sty m:val="p"/>
              </m:rPr>
              <m:t>s</m:t>
            </m:r>
            <m:r>
              <m:rPr>
                <m:sty m:val="p"/>
              </m:rPr>
              <m:t>s</m:t>
            </m:r>
            <m:r>
              <m:rPr>
                <m:sty m:val="p"/>
              </m:rPr>
              <m:t>i</m:t>
            </m:r>
            <m:r>
              <m:rPr>
                <m:sty m:val="p"/>
              </m:rPr>
              <m:t>a</m:t>
            </m:r>
            <m:r>
              <m:rPr>
                <m:sty m:val="p"/>
              </m:rPr>
              <m:t>n</m:t>
            </m:r>
          </m:sub>
        </m:sSub>
        <m:r>
          <m:rPr>
            <m:sty m:val="p"/>
          </m:rPr>
          <m:t>=</m:t>
        </m:r>
        <m:sSub>
          <m:e>
            <m:r>
              <m:t>μ</m:t>
            </m:r>
          </m:e>
          <m:sub>
            <m:r>
              <m:rPr>
                <m:sty m:val="p"/>
              </m:rPr>
              <m:t>b</m:t>
            </m:r>
            <m:r>
              <m:rPr>
                <m:sty m:val="p"/>
              </m:rPr>
              <m:t>r</m:t>
            </m:r>
            <m:r>
              <m:rPr>
                <m:sty m:val="p"/>
              </m:rPr>
              <m:t>m</m:t>
            </m:r>
            <m:r>
              <m:rPr>
                <m:sty m:val="p"/>
              </m:rPr>
              <m:t>s</m:t>
            </m:r>
          </m:sub>
        </m:sSub>
        <m:r>
          <m:rPr>
            <m:sty m:val="p"/>
          </m:rPr>
          <m:t>−</m:t>
        </m:r>
        <m:r>
          <m:t>τ</m:t>
        </m:r>
      </m:oMath>
      <w:r>
        <w:t xml:space="preserve"> </w:t>
      </w:r>
      <w:r>
        <w:t xml:space="preserve">or to specify an alternative parameterization that models the conventional ex-Gaussian parameters directly.</w:t>
      </w:r>
    </w:p>
    <w:p>
      <w:pPr>
        <w:pStyle w:val="BodyText"/>
      </w:pPr>
      <w:r>
        <w:t xml:space="preserve">In this paper, we demonstrate what the default parameterization of the ex-Gaussian model in {brms} actually represents, and then show how to reparameterize the model so that</w:t>
      </w:r>
      <w:r>
        <w:t xml:space="preserve"> </w:t>
      </w:r>
      <m:oMath>
        <m:r>
          <m:t>μ</m:t>
        </m:r>
      </m:oMath>
      <w:r>
        <w:t xml:space="preserve"> </w:t>
      </w:r>
      <w:r>
        <w:t xml:space="preserve">corresponds to the location of the Gaussian component — the conventional ex-Gaussian parameter used in RT research — rather than the mean of the full distribution. We illustrate this first with a simulated dataset and then through reanalysis of a published finding. Our goal is to improve the accuracy and interpretability of inferences drawn from these models. This issue is particularly important because the ex-Gaussian distribution is widely used to distinguish changes in the central portion of the RT distribution from changes in its positively skewed tail.</w:t>
      </w:r>
    </w:p>
    <w:bookmarkEnd w:id="39"/>
    <w:bookmarkStart w:id="71" w:name="simulation-example"/>
    <w:p>
      <w:pPr>
        <w:pStyle w:val="Heading1"/>
      </w:pPr>
      <w:r>
        <w:t xml:space="preserve">Simulation Example</w:t>
      </w:r>
    </w:p>
    <w:bookmarkStart w:id="48" w:name="data-generation"/>
    <w:p>
      <w:pPr>
        <w:pStyle w:val="Heading2"/>
      </w:pPr>
      <w:r>
        <w:t xml:space="preserve">Data Generation</w:t>
      </w:r>
    </w:p>
    <w:p>
      <w:pPr>
        <w:pStyle w:val="FirstParagraph"/>
      </w:pPr>
      <w:r>
        <w:t xml:space="preserve">To demonstrate the issue with fitting the default ex-Gaussian model in {brms}, we simulate data using a comparison adapted from one of our own studies</w:t>
      </w:r>
      <w:r>
        <w:t xml:space="preserve"> </w:t>
      </w:r>
      <w:r>
        <w:t xml:space="preserve">(</w:t>
      </w:r>
      <w:hyperlink w:anchor="ref-geller2025">
        <w:r>
          <w:rPr>
            <w:rStyle w:val="Hyperlink"/>
          </w:rPr>
          <w:t xml:space="preserve">Geller et al., 2025</w:t>
        </w:r>
      </w:hyperlink>
      <w:r>
        <w:t xml:space="preserve">)</w:t>
      </w:r>
      <w:r>
        <w:t xml:space="preserve"> </w:t>
      </w:r>
      <w:r>
        <w:t xml:space="preserve">in R</w:t>
      </w:r>
      <w:r>
        <w:t xml:space="preserve"> </w:t>
      </w:r>
      <w:r>
        <w:t xml:space="preserve">(version 4.6.1,</w:t>
      </w:r>
      <w:r>
        <w:t xml:space="preserve"> </w:t>
      </w:r>
      <w:hyperlink w:anchor="ref-R">
        <w:r>
          <w:rPr>
            <w:rStyle w:val="Hyperlink"/>
          </w:rPr>
          <w:t xml:space="preserve">R Core Team, 2026</w:t>
        </w:r>
      </w:hyperlink>
      <w:r>
        <w:t xml:space="preserve">)</w:t>
      </w:r>
      <w:r>
        <w:rPr>
          <w:rStyle w:val="FootnoteReference"/>
        </w:rPr>
        <w:footnoteReference w:id="40"/>
      </w:r>
      <w:r>
        <w:t xml:space="preserve">. In</w:t>
      </w:r>
      <w:r>
        <w:t xml:space="preserve"> </w:t>
      </w:r>
      <w:r>
        <w:t xml:space="preserve">Geller et al. (</w:t>
      </w:r>
      <w:hyperlink w:anchor="ref-geller2025">
        <w:r>
          <w:rPr>
            <w:rStyle w:val="Hyperlink"/>
          </w:rPr>
          <w:t xml:space="preserve">2025</w:t>
        </w:r>
      </w:hyperlink>
      <w:r>
        <w:t xml:space="preserve">)</w:t>
      </w:r>
      <w:r>
        <w:t xml:space="preserve">, we examined how perceptual disfluency—manipulated by varying the level of blur applied to letter strings influenced reaction times in a lexical decision task (LDT; i.e., is this letter string a word?), and whether these effects were related to how well someone remembers the words in a recognition memory task. In that study, low blur words affected early stages of encoding, reflected in the Gaussian location parameter</w:t>
      </w:r>
      <w:r>
        <w:t xml:space="preserve"> </w:t>
      </w:r>
      <m:oMath>
        <m:r>
          <m:t>μ</m:t>
        </m:r>
      </m:oMath>
      <w:r>
        <w:t xml:space="preserve">, but not the later, tail component captured by</w:t>
      </w:r>
      <w:r>
        <w:t xml:space="preserve"> </w:t>
      </w:r>
      <m:oMath>
        <m:r>
          <m:t>τ</m:t>
        </m:r>
      </m:oMath>
      <w:r>
        <w:t xml:space="preserve">. For the present illustration, however, we construct a sharper scenario in which</w:t>
      </w:r>
      <w:r>
        <w:t xml:space="preserve"> </w:t>
      </w:r>
      <m:oMath>
        <m:r>
          <m:t>μ</m:t>
        </m:r>
      </m:oMath>
      <w:r>
        <w:t xml:space="preserve"> </w:t>
      </w:r>
      <w:r>
        <w:t xml:space="preserve">and</w:t>
      </w:r>
      <w:r>
        <w:t xml:space="preserve"> </w:t>
      </w:r>
      <m:oMath>
        <m:r>
          <m:t>τ</m:t>
        </m:r>
      </m:oMath>
      <w:r>
        <w:t xml:space="preserve"> </w:t>
      </w:r>
      <w:r>
        <w:t xml:space="preserve">differ in opposite directions so that the two conditions share the same expected reaction time. Using the classical ex-Gaussian parameterization implemented in the {cogmod} package</w:t>
      </w:r>
      <w:r>
        <w:t xml:space="preserve"> </w:t>
      </w:r>
      <w:r>
        <w:t xml:space="preserve">(</w:t>
      </w:r>
      <w:hyperlink w:anchor="ref-makowski2026cogmod">
        <w:r>
          <w:rPr>
            <w:rStyle w:val="Hyperlink"/>
          </w:rPr>
          <w:t xml:space="preserve">Makowski, 2026</w:t>
        </w:r>
      </w:hyperlink>
      <w:r>
        <w:t xml:space="preserve">)</w:t>
      </w:r>
      <w:r>
        <w:t xml:space="preserve">, we simulate ex-Gaussian data for clearly presented and low-blur words in which</w:t>
      </w:r>
      <w:r>
        <w:t xml:space="preserve"> </w:t>
      </w:r>
      <m:oMath>
        <m:r>
          <m:t>μ</m:t>
        </m:r>
      </m:oMath>
      <w:r>
        <w:t xml:space="preserve"> </w:t>
      </w:r>
      <w:r>
        <w:t xml:space="preserve">is set to 500 ms and 550 ms,</w:t>
      </w:r>
      <w:r>
        <w:t xml:space="preserve"> </w:t>
      </w:r>
      <m:oMath>
        <m:r>
          <m:t>τ</m:t>
        </m:r>
      </m:oMath>
      <w:r>
        <w:t xml:space="preserve"> </w:t>
      </w:r>
      <w:r>
        <w:t xml:space="preserve">to 100 ms and 50 ms, and</w:t>
      </w:r>
      <w:r>
        <w:t xml:space="preserve"> </w:t>
      </w:r>
      <m:oMath>
        <m:r>
          <m:t>σ</m:t>
        </m:r>
      </m:oMath>
      <w:r>
        <w:t xml:space="preserve"> </w:t>
      </w:r>
      <w:r>
        <w:t xml:space="preserve">to 60 ms in both conditions (see</w:t>
      </w:r>
      <w:r>
        <w:t xml:space="preserve"> </w:t>
      </w:r>
      <w:hyperlink w:anchor="tbl-exgauss">
        <w:r>
          <w:rPr>
            <w:rStyle w:val="Hyperlink"/>
          </w:rPr>
          <w:t xml:space="preserve">Table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41" w:name="lst-install-brms-exgaussian"/>
          <w:p>
            <w:pPr>
              <w:jc w:val="left"/>
            </w:pPr>
            <w:pPr>
              <w:jc w:val="left"/>
              <w:spacing w:before="200"/>
              <w:pStyle w:val="ImageCaption"/>
            </w:pPr>
            <w:r>
              <w:t xml:space="preserve">Listing 1: Installing and loading the {cogmod} package from GitHub.</w:t>
            </w:r>
          </w:p>
          <w:p>
            <w:pPr>
              <w:pStyle w:val="SourceCode"/>
              <w:jc w:val="left"/>
            </w:pPr>
            <w:r>
              <w:rPr>
                <w:rStyle w:val="CommentTok"/>
              </w:rPr>
              <w:t xml:space="preserve"># install from Github</w:t>
            </w:r>
            <w:r>
              <w:br/>
            </w:r>
            <w:r>
              <w:rPr>
                <w:rStyle w:val="CommentTok"/>
              </w:rPr>
              <w:t xml:space="preserve">#remotes::install_github("DominiqueMakowski/cogmod")</w:t>
            </w:r>
            <w:r>
              <w:br/>
            </w:r>
            <w:r>
              <w:br/>
            </w:r>
            <w:r>
              <w:rPr>
                <w:rStyle w:val="FunctionTok"/>
              </w:rPr>
              <w:t xml:space="preserve">library</w:t>
            </w:r>
            <w:r>
              <w:rPr>
                <w:rStyle w:val="NormalTok"/>
              </w:rPr>
              <w:t xml:space="preserve">(cogmod)</w:t>
            </w:r>
          </w:p>
          <w:bookmarkEnd w:id="41"/>
        </w:tc>
      </w:tr>
    </w:tbl>
    <w:bookmarkStart w:id="42" w:name="tbl-exgauss"/>
    <w:p>
      <w:pPr>
        <w:pStyle w:val="FigureTitle"/>
      </w:pPr>
      <w:r>
        <w:t xml:space="preserve">Table 1</w:t>
      </w:r>
    </w:p>
    <w:p>
      <w:pPr>
        <w:pStyle w:val="Caption"/>
      </w:pPr>
      <w:r>
        <w:t xml:space="preserve">Data-generating ex-Gaussian parameters for the Clear and Low-Blur conditions, with opposing changes in</w:t>
      </w:r>
      <w:r>
        <w:t xml:space="preserve"> </w:t>
      </w:r>
      <m:oMath>
        <m:r>
          <m:t>μ</m:t>
        </m:r>
      </m:oMath>
      <w:r>
        <w:t xml:space="preserve"> </w:t>
      </w:r>
      <w:r>
        <w:t xml:space="preserve">and</w:t>
      </w:r>
      <w:r>
        <w:t xml:space="preserve"> </w:t>
      </w:r>
      <m:oMath>
        <m:r>
          <m:t>τ</m:t>
        </m:r>
      </m:oMath>
      <w:r>
        <w:t xml:space="preserve"> </w:t>
      </w:r>
      <w:r>
        <w:t xml:space="preserve">that hold the expected response time (</w:t>
      </w:r>
      <m:oMath>
        <m:r>
          <m:t>μ</m:t>
        </m:r>
        <m:r>
          <m:rPr>
            <m:sty m:val="p"/>
          </m:rPr>
          <m:t>+</m:t>
        </m:r>
        <m:r>
          <m:t>τ</m:t>
        </m:r>
      </m:oMath>
      <w:r>
        <w:t xml:space="preserve">) constant.</w:t>
      </w:r>
    </w:p>
    <w:tbl>
      <w:tblPr>
        <w:tblStyle w:val="Table"/>
        <w:tblW w:type="pct" w:w="2917"/>
        <w:tblLayout w:type="fixed"/>
        <w:tblLook w:firstRow="1" w:lastRow="0" w:firstColumn="0" w:lastColumn="0" w:noHBand="0" w:noVBand="0" w:val="0020"/>
      </w:tblPr>
      <w:tblGrid>
        <w:gridCol w:w="1210"/>
        <w:gridCol w:w="660"/>
        <w:gridCol w:w="550"/>
        <w:gridCol w:w="660"/>
        <w:gridCol w:w="1540"/>
      </w:tblGrid>
      <w:tr>
        <w:trPr>
          <w:tblHeader w:val="on"/>
        </w:trPr>
        <w:tc>
          <w:tcPr/>
          <w:p>
            <w:pPr>
              <w:pStyle w:val="Compact"/>
            </w:pPr>
            <w:r>
              <w:t xml:space="preserve">Blur</w:t>
            </w:r>
          </w:p>
        </w:tc>
        <w:tc>
          <w:tcPr/>
          <w:p>
            <w:pPr>
              <w:pStyle w:val="Compact"/>
            </w:pPr>
            <w:r>
              <w:t xml:space="preserve">μ</w:t>
            </w:r>
          </w:p>
        </w:tc>
        <w:tc>
          <w:tcPr/>
          <w:p>
            <w:pPr>
              <w:pStyle w:val="Compact"/>
            </w:pPr>
            <w:r>
              <w:t xml:space="preserve">σ</w:t>
            </w:r>
          </w:p>
        </w:tc>
        <w:tc>
          <w:tcPr/>
          <w:p>
            <w:pPr>
              <w:pStyle w:val="Compact"/>
            </w:pPr>
            <w:r>
              <w:t xml:space="preserve">τ</w:t>
            </w:r>
          </w:p>
        </w:tc>
        <w:tc>
          <w:tcPr/>
          <w:p>
            <w:pPr>
              <w:pStyle w:val="Compact"/>
            </w:pPr>
            <w:r>
              <w:t xml:space="preserve">Expected RT</w:t>
            </w:r>
          </w:p>
        </w:tc>
      </w:tr>
      <w:tr>
        <w:tc>
          <w:tcPr/>
          <w:p>
            <w:pPr>
              <w:pStyle w:val="Compact"/>
            </w:pPr>
            <w:r>
              <w:t xml:space="preserve">Clear</w:t>
            </w:r>
          </w:p>
        </w:tc>
        <w:tc>
          <w:tcPr/>
          <w:p>
            <w:pPr>
              <w:pStyle w:val="Compact"/>
            </w:pPr>
            <w:r>
              <w:t xml:space="preserve">500</w:t>
            </w:r>
          </w:p>
        </w:tc>
        <w:tc>
          <w:tcPr/>
          <w:p>
            <w:pPr>
              <w:pStyle w:val="Compact"/>
            </w:pPr>
            <w:r>
              <w:t xml:space="preserve">60</w:t>
            </w:r>
          </w:p>
        </w:tc>
        <w:tc>
          <w:tcPr/>
          <w:p>
            <w:pPr>
              <w:pStyle w:val="Compact"/>
            </w:pPr>
            <w:r>
              <w:t xml:space="preserve">100</w:t>
            </w:r>
          </w:p>
        </w:tc>
        <w:tc>
          <w:tcPr/>
          <w:p>
            <w:pPr>
              <w:pStyle w:val="Compact"/>
            </w:pPr>
            <w:r>
              <w:t xml:space="preserve">600</w:t>
            </w:r>
          </w:p>
        </w:tc>
      </w:tr>
      <w:tr>
        <w:tc>
          <w:tcPr/>
          <w:p>
            <w:pPr>
              <w:pStyle w:val="Compact"/>
            </w:pPr>
            <w:r>
              <w:t xml:space="preserve">Low-Blur</w:t>
            </w:r>
          </w:p>
        </w:tc>
        <w:tc>
          <w:tcPr/>
          <w:p>
            <w:pPr>
              <w:pStyle w:val="Compact"/>
            </w:pPr>
            <w:r>
              <w:t xml:space="preserve">550</w:t>
            </w:r>
          </w:p>
        </w:tc>
        <w:tc>
          <w:tcPr/>
          <w:p>
            <w:pPr>
              <w:pStyle w:val="Compact"/>
            </w:pPr>
            <w:r>
              <w:t xml:space="preserve">60</w:t>
            </w:r>
          </w:p>
        </w:tc>
        <w:tc>
          <w:tcPr/>
          <w:p>
            <w:pPr>
              <w:pStyle w:val="Compact"/>
            </w:pPr>
            <w:r>
              <w:t xml:space="preserve">50</w:t>
            </w:r>
          </w:p>
        </w:tc>
        <w:tc>
          <w:tcPr/>
          <w:p>
            <w:pPr>
              <w:pStyle w:val="Compact"/>
            </w:pPr>
            <w:r>
              <w:t xml:space="preserve">600</w:t>
            </w:r>
          </w:p>
        </w:tc>
      </w:tr>
    </w:tbl>
    <w:bookmarkEnd w:id="42"/>
    <w:p>
      <w:pPr>
        <w:pStyle w:val="AfterWithoutNote"/>
      </w:pPr>
      <w:r>
        <w:t xml:space="preserve">To simulate the data, We first draw 100 reaction times per condition (200 in total) from the ex-Gaussian distributions defined by these parameters (</w:t>
      </w:r>
      <w:hyperlink w:anchor="lst-simulate-data">
        <w:r>
          <w:rPr>
            <w:rStyle w:val="Hyperlink"/>
          </w:rPr>
          <w:t xml:space="preserve">Listing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43" w:name="lst-simulate-data"/>
          <w:p>
            <w:pPr>
              <w:jc w:val="left"/>
            </w:pPr>
            <w:pPr>
              <w:jc w:val="left"/>
              <w:spacing w:before="200"/>
              <w:pStyle w:val="ImageCaption"/>
            </w:pPr>
            <w:r>
              <w:t xml:space="preserve">Listing 2: Simulating ex-Gaussian reaction times for the Clear and Low-Blur conditions.</w:t>
            </w:r>
          </w:p>
          <w:p>
            <w:pPr>
              <w:pStyle w:val="SourceCode"/>
              <w:jc w:val="left"/>
            </w:pPr>
            <w:r>
              <w:rPr>
                <w:rStyle w:val="CommentTok"/>
              </w:rPr>
              <w:t xml:space="preserve"># Fix the random seed so the simulated data are identical on every render.</w:t>
            </w:r>
            <w:r>
              <w:br/>
            </w:r>
            <w:r>
              <w:rPr>
                <w:rStyle w:val="FunctionTok"/>
              </w:rPr>
              <w:t xml:space="preserve">set.seed</w:t>
            </w:r>
            <w:r>
              <w:rPr>
                <w:rStyle w:val="NormalTok"/>
              </w:rPr>
              <w:t xml:space="preserve">(</w:t>
            </w:r>
            <w:r>
              <w:rPr>
                <w:rStyle w:val="DecValTok"/>
              </w:rPr>
              <w:t xml:space="preserve">1234</w:t>
            </w:r>
            <w:r>
              <w:rPr>
                <w:rStyle w:val="NormalTok"/>
              </w:rPr>
              <w:t xml:space="preserve">)</w:t>
            </w:r>
            <w:r>
              <w:br/>
            </w:r>
            <w:r>
              <w:br/>
            </w:r>
            <w:r>
              <w:rPr>
                <w:rStyle w:val="CommentTok"/>
              </w:rPr>
              <w:t xml:space="preserve"># Number of simulated trials per condition (200 observations in total).</w:t>
            </w:r>
            <w:r>
              <w:br/>
            </w:r>
            <w:r>
              <w:rPr>
                <w:rStyle w:val="NormalTok"/>
              </w:rPr>
              <w:t xml:space="preserve">n_per_group </w:t>
            </w:r>
            <w:r>
              <w:rPr>
                <w:rStyle w:val="OtherTok"/>
              </w:rPr>
              <w:t xml:space="preserve">&lt;-</w:t>
            </w:r>
            <w:r>
              <w:rPr>
                <w:rStyle w:val="NormalTok"/>
              </w:rPr>
              <w:t xml:space="preserve"> </w:t>
            </w:r>
            <w:r>
              <w:rPr>
                <w:rStyle w:val="DecValTok"/>
              </w:rPr>
              <w:t xml:space="preserve">100</w:t>
            </w:r>
            <w:r>
              <w:br/>
            </w:r>
            <w:r>
              <w:br/>
            </w:r>
            <w:r>
              <w:rPr>
                <w:rStyle w:val="CommentTok"/>
              </w:rPr>
              <w:t xml:space="preserve"># One row per trial, labelled by Blur condition (Clear is the reference level).</w:t>
            </w:r>
            <w:r>
              <w:br/>
            </w:r>
            <w:r>
              <w:rPr>
                <w:rStyle w:val="NormalTok"/>
              </w:rPr>
              <w:t xml:space="preserve">d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Blur =</w:t>
            </w:r>
            <w:r>
              <w:rPr>
                <w:rStyle w:val="NormalTok"/>
              </w:rPr>
              <w:t xml:space="preserve"> </w:t>
            </w:r>
            <w:r>
              <w:rPr>
                <w:rStyle w:val="FunctionTok"/>
              </w:rPr>
              <w:t xml:space="preserve">factor</w:t>
            </w:r>
            <w:r>
              <w:rPr>
                <w:rStyle w:val="NormalTok"/>
              </w:rPr>
              <w:t xml:space="preserve">(</w:t>
            </w:r>
            <w:r>
              <w:br/>
            </w:r>
            <w:r>
              <w:rPr>
                <w:rStyle w:val="NormalTok"/>
              </w:rPr>
              <w:t xml:space="preserve">    </w:t>
            </w:r>
            <w:r>
              <w:rPr>
                <w:rStyle w:val="FunctionTok"/>
              </w:rPr>
              <w:t xml:space="preserve">rep</w:t>
            </w:r>
            <w:r>
              <w:rPr>
                <w:rStyle w:val="NormalTok"/>
              </w:rPr>
              <w:t xml:space="preserve">(</w:t>
            </w:r>
            <w:r>
              <w:rPr>
                <w:rStyle w:val="FunctionTok"/>
              </w:rPr>
              <w:t xml:space="preserve">c</w:t>
            </w:r>
            <w:r>
              <w:rPr>
                <w:rStyle w:val="NormalTok"/>
              </w:rPr>
              <w:t xml:space="preserve">(</w:t>
            </w:r>
            <w:r>
              <w:rPr>
                <w:rStyle w:val="StringTok"/>
              </w:rPr>
              <w:t xml:space="preserve">"Clear"</w:t>
            </w:r>
            <w:r>
              <w:rPr>
                <w:rStyle w:val="NormalTok"/>
              </w:rPr>
              <w:t xml:space="preserve">, </w:t>
            </w:r>
            <w:r>
              <w:rPr>
                <w:rStyle w:val="StringTok"/>
              </w:rPr>
              <w:t xml:space="preserve">"Low-Blur"</w:t>
            </w:r>
            <w:r>
              <w:rPr>
                <w:rStyle w:val="NormalTok"/>
              </w:rPr>
              <w:t xml:space="preserve">), </w:t>
            </w:r>
            <w:r>
              <w:rPr>
                <w:rStyle w:val="AttributeTok"/>
              </w:rPr>
              <w:t xml:space="preserve">each =</w:t>
            </w:r>
            <w:r>
              <w:rPr>
                <w:rStyle w:val="NormalTok"/>
              </w:rPr>
              <w:t xml:space="preserve"> n_per_group),</w:t>
            </w:r>
            <w:r>
              <w:br/>
            </w:r>
            <w:r>
              <w:rPr>
                <w:rStyle w:val="NormalTok"/>
              </w:rPr>
              <w:t xml:space="preserve">    </w:t>
            </w:r>
            <w:r>
              <w:rPr>
                <w:rStyle w:val="AttributeTok"/>
              </w:rPr>
              <w:t xml:space="preserve">levels =</w:t>
            </w:r>
            <w:r>
              <w:rPr>
                <w:rStyle w:val="NormalTok"/>
              </w:rPr>
              <w:t xml:space="preserve"> </w:t>
            </w:r>
            <w:r>
              <w:rPr>
                <w:rStyle w:val="FunctionTok"/>
              </w:rPr>
              <w:t xml:space="preserve">c</w:t>
            </w:r>
            <w:r>
              <w:rPr>
                <w:rStyle w:val="NormalTok"/>
              </w:rPr>
              <w:t xml:space="preserve">(</w:t>
            </w:r>
            <w:r>
              <w:rPr>
                <w:rStyle w:val="StringTok"/>
              </w:rPr>
              <w:t xml:space="preserve">"Clear"</w:t>
            </w:r>
            <w:r>
              <w:rPr>
                <w:rStyle w:val="NormalTok"/>
              </w:rPr>
              <w:t xml:space="preserve">, </w:t>
            </w:r>
            <w:r>
              <w:rPr>
                <w:rStyle w:val="StringTok"/>
              </w:rPr>
              <w:t xml:space="preserve">"Low-Blur"</w:t>
            </w:r>
            <w:r>
              <w:rPr>
                <w:rStyle w:val="NormalTok"/>
              </w:rPr>
              <w:t xml:space="preserve">)</w:t>
            </w:r>
            <w:r>
              <w:br/>
            </w:r>
            <w:r>
              <w:rPr>
                <w:rStyle w:val="NormalTok"/>
              </w:rPr>
              <w:t xml:space="preserve">  )</w:t>
            </w:r>
            <w:r>
              <w:br/>
            </w:r>
            <w:r>
              <w:rPr>
                <w:rStyle w:val="NormalTok"/>
              </w:rPr>
              <w:t xml:space="preserve">)</w:t>
            </w:r>
            <w:r>
              <w:br/>
            </w:r>
            <w:r>
              <w:br/>
            </w:r>
            <w:r>
              <w:rPr>
                <w:rStyle w:val="CommentTok"/>
              </w:rPr>
              <w:t xml:space="preserve"># Row index (1 = Clear, 2 = Low-Blur) used to look up each trial's parameters.</w:t>
            </w:r>
            <w:r>
              <w:br/>
            </w:r>
            <w:r>
              <w:rPr>
                <w:rStyle w:val="NormalTok"/>
              </w:rPr>
              <w:t xml:space="preserve">parameter_index </w:t>
            </w:r>
            <w:r>
              <w:rPr>
                <w:rStyle w:val="OtherTok"/>
              </w:rPr>
              <w:t xml:space="preserve">&lt;-</w:t>
            </w:r>
            <w:r>
              <w:rPr>
                <w:rStyle w:val="NormalTok"/>
              </w:rPr>
              <w:t xml:space="preserve"> </w:t>
            </w:r>
            <w:r>
              <w:rPr>
                <w:rStyle w:val="FunctionTok"/>
              </w:rPr>
              <w:t xml:space="preserve">as.integer</w:t>
            </w:r>
            <w:r>
              <w:rPr>
                <w:rStyle w:val="NormalTok"/>
              </w:rPr>
              <w:t xml:space="preserve">(d</w:t>
            </w:r>
            <w:r>
              <w:rPr>
                <w:rStyle w:val="SpecialCharTok"/>
              </w:rPr>
              <w:t xml:space="preserve">$</w:t>
            </w:r>
            <w:r>
              <w:rPr>
                <w:rStyle w:val="NormalTok"/>
              </w:rPr>
              <w:t xml:space="preserve">Blur)</w:t>
            </w:r>
            <w:r>
              <w:br/>
            </w:r>
            <w:r>
              <w:br/>
            </w:r>
            <w:r>
              <w:rPr>
                <w:rStyle w:val="CommentTok"/>
              </w:rPr>
              <w:t xml:space="preserve"># Draw reaction times from the classical ex-Gaussian using each trial's</w:t>
            </w:r>
            <w:r>
              <w:br/>
            </w:r>
            <w:r>
              <w:rPr>
                <w:rStyle w:val="CommentTok"/>
              </w:rPr>
              <w:t xml:space="preserve"># condition values, via {cogmod}'s rrt_exgaussian() generator.</w:t>
            </w:r>
            <w:r>
              <w:br/>
            </w:r>
            <w:r>
              <w:rPr>
                <w:rStyle w:val="NormalTok"/>
              </w:rPr>
              <w:t xml:space="preserve">d</w:t>
            </w:r>
            <w:r>
              <w:rPr>
                <w:rStyle w:val="SpecialCharTok"/>
              </w:rPr>
              <w:t xml:space="preserve">$</w:t>
            </w:r>
            <w:r>
              <w:rPr>
                <w:rStyle w:val="NormalTok"/>
              </w:rPr>
              <w:t xml:space="preserve">rt </w:t>
            </w:r>
            <w:r>
              <w:rPr>
                <w:rStyle w:val="OtherTok"/>
              </w:rPr>
              <w:t xml:space="preserve">&lt;-</w:t>
            </w:r>
            <w:r>
              <w:rPr>
                <w:rStyle w:val="NormalTok"/>
              </w:rPr>
              <w:t xml:space="preserve"> cogmod</w:t>
            </w:r>
            <w:r>
              <w:rPr>
                <w:rStyle w:val="SpecialCharTok"/>
              </w:rPr>
              <w:t xml:space="preserve">::</w:t>
            </w:r>
            <w:r>
              <w:rPr>
                <w:rStyle w:val="FunctionTok"/>
              </w:rPr>
              <w:t xml:space="preserve">rrt_exgaussian</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nrow</w:t>
            </w:r>
            <w:r>
              <w:rPr>
                <w:rStyle w:val="NormalTok"/>
              </w:rPr>
              <w:t xml:space="preserve">(d),</w:t>
            </w:r>
            <w:r>
              <w:br/>
            </w:r>
            <w:r>
              <w:rPr>
                <w:rStyle w:val="NormalTok"/>
              </w:rPr>
              <w:t xml:space="preserve">  </w:t>
            </w:r>
            <w:r>
              <w:rPr>
                <w:rStyle w:val="AttributeTok"/>
              </w:rPr>
              <w:t xml:space="preserve">mu =</w:t>
            </w:r>
            <w:r>
              <w:rPr>
                <w:rStyle w:val="NormalTok"/>
              </w:rPr>
              <w:t xml:space="preserve"> sim_params</w:t>
            </w:r>
            <w:r>
              <w:rPr>
                <w:rStyle w:val="SpecialCharTok"/>
              </w:rPr>
              <w:t xml:space="preserve">$</w:t>
            </w:r>
            <w:r>
              <w:rPr>
                <w:rStyle w:val="NormalTok"/>
              </w:rPr>
              <w:t xml:space="preserve">mu[parameter_index],</w:t>
            </w:r>
            <w:r>
              <w:br/>
            </w:r>
            <w:r>
              <w:rPr>
                <w:rStyle w:val="NormalTok"/>
              </w:rPr>
              <w:t xml:space="preserve">  </w:t>
            </w:r>
            <w:r>
              <w:rPr>
                <w:rStyle w:val="AttributeTok"/>
              </w:rPr>
              <w:t xml:space="preserve">sigma =</w:t>
            </w:r>
            <w:r>
              <w:rPr>
                <w:rStyle w:val="NormalTok"/>
              </w:rPr>
              <w:t xml:space="preserve"> sim_params</w:t>
            </w:r>
            <w:r>
              <w:rPr>
                <w:rStyle w:val="SpecialCharTok"/>
              </w:rPr>
              <w:t xml:space="preserve">$</w:t>
            </w:r>
            <w:r>
              <w:rPr>
                <w:rStyle w:val="NormalTok"/>
              </w:rPr>
              <w:t xml:space="preserve">sigma[parameter_index],</w:t>
            </w:r>
            <w:r>
              <w:br/>
            </w:r>
            <w:r>
              <w:rPr>
                <w:rStyle w:val="NormalTok"/>
              </w:rPr>
              <w:t xml:space="preserve">  </w:t>
            </w:r>
            <w:r>
              <w:rPr>
                <w:rStyle w:val="AttributeTok"/>
              </w:rPr>
              <w:t xml:space="preserve">tau =</w:t>
            </w:r>
            <w:r>
              <w:rPr>
                <w:rStyle w:val="NormalTok"/>
              </w:rPr>
              <w:t xml:space="preserve"> sim_params</w:t>
            </w:r>
            <w:r>
              <w:rPr>
                <w:rStyle w:val="SpecialCharTok"/>
              </w:rPr>
              <w:t xml:space="preserve">$</w:t>
            </w:r>
            <w:r>
              <w:rPr>
                <w:rStyle w:val="NormalTok"/>
              </w:rPr>
              <w:t xml:space="preserve">tau[parameter_index]</w:t>
            </w:r>
            <w:r>
              <w:br/>
            </w:r>
            <w:r>
              <w:rPr>
                <w:rStyle w:val="NormalTok"/>
              </w:rPr>
              <w:t xml:space="preserve">)</w:t>
            </w:r>
          </w:p>
          <w:bookmarkEnd w:id="43"/>
        </w:tc>
      </w:tr>
    </w:tbl>
    <w:p>
      <w:pPr>
        <w:pStyle w:val="FirstParagraph"/>
      </w:pPr>
      <w:hyperlink w:anchor="fig-datagen">
        <w:r>
          <w:rPr>
            <w:rStyle w:val="Hyperlink"/>
          </w:rPr>
          <w:t xml:space="preserve">Figure 1</w:t>
        </w:r>
      </w:hyperlink>
      <w:r>
        <w:t xml:space="preserve"> </w:t>
      </w:r>
      <w:r>
        <w:t xml:space="preserve">shows the simulated RT distribution for each condition and how the three ex-Gaussian parameters shape it:</w:t>
      </w:r>
      <w:r>
        <w:t xml:space="preserve"> </w:t>
      </w:r>
      <m:oMath>
        <m:r>
          <m:t>μ</m:t>
        </m:r>
      </m:oMath>
      <w:r>
        <w:t xml:space="preserve"> </w:t>
      </w:r>
      <w:r>
        <w:t xml:space="preserve">locates the Gaussian component,</w:t>
      </w:r>
      <w:r>
        <w:t xml:space="preserve"> </w:t>
      </w:r>
      <m:oMath>
        <m:r>
          <m:t>σ</m:t>
        </m:r>
      </m:oMath>
      <w:r>
        <w:t xml:space="preserve"> </w:t>
      </w:r>
      <w:r>
        <w:t xml:space="preserve">sets its spread, and</w:t>
      </w:r>
      <w:r>
        <w:t xml:space="preserve"> </w:t>
      </w:r>
      <m:oMath>
        <m:r>
          <m:t>τ</m:t>
        </m:r>
      </m:oMath>
      <w:r>
        <w:t xml:space="preserve"> </w:t>
      </w:r>
      <w:r>
        <w:t xml:space="preserve">stretches the right tail. Because the increase in</w:t>
      </w:r>
      <w:r>
        <w:t xml:space="preserve"> </w:t>
      </w:r>
      <m:oMath>
        <m:r>
          <m:t>μ</m:t>
        </m:r>
      </m:oMath>
      <w:r>
        <w:t xml:space="preserve"> </w:t>
      </w:r>
      <w:r>
        <w:t xml:space="preserve">from Clear to Low-Blur is offset by an equal decrease in</w:t>
      </w:r>
      <w:r>
        <w:t xml:space="preserve"> </w:t>
      </w:r>
      <m:oMath>
        <m:r>
          <m:t>τ</m:t>
        </m:r>
      </m:oMath>
      <w:r>
        <w:t xml:space="preserve">, the overall mean</w:t>
      </w:r>
      <w:r>
        <w:t xml:space="preserve"> </w:t>
      </w:r>
      <m:oMath>
        <m:r>
          <m:t>E</m:t>
        </m:r>
        <m:r>
          <m:rPr>
            <m:sty m:val="p"/>
          </m:rPr>
          <m:t>(</m:t>
        </m:r>
        <m:r>
          <m:t>R</m:t>
        </m:r>
        <m:r>
          <m:t>T</m:t>
        </m:r>
        <m:r>
          <m:rPr>
            <m:sty m:val="p"/>
          </m:rPr>
          <m:t>)</m:t>
        </m:r>
        <m:r>
          <m:rPr>
            <m:sty m:val="p"/>
          </m:rPr>
          <m:t>=</m:t>
        </m:r>
        <m:r>
          <m:t>μ</m:t>
        </m:r>
        <m:r>
          <m:rPr>
            <m:sty m:val="p"/>
          </m:rPr>
          <m:t>+</m:t>
        </m:r>
        <m:r>
          <m:t>τ</m:t>
        </m:r>
      </m:oMath>
      <w:r>
        <w:t xml:space="preserve"> </w:t>
      </w:r>
      <w:r>
        <w:t xml:space="preserve">is identical (600 ms) in both conditions.</w:t>
      </w:r>
    </w:p>
    <w:bookmarkStart w:id="47" w:name="fig-datagen"/>
    <w:p>
      <w:pPr>
        <w:pStyle w:val="FigureTitle"/>
      </w:pPr>
      <w:r>
        <w:t xml:space="preserve">Figure 1</w:t>
      </w:r>
    </w:p>
    <w:p>
      <w:pPr>
        <w:pStyle w:val="Caption"/>
      </w:pPr>
      <w:r>
        <w:t xml:space="preserve">Simulated reaction-time distributions for each condition, annotated with the ex-Gaussian parameters. The dashed line marks the Gaussian location</w:t>
      </w:r>
      <w:r>
        <w:t xml:space="preserve"> </w:t>
      </w:r>
      <m:oMath>
        <m:r>
          <m:t>μ</m:t>
        </m:r>
      </m:oMath>
      <w:r>
        <w:t xml:space="preserve">; the double arrow spans</w:t>
      </w:r>
      <w:r>
        <w:t xml:space="preserve"> </w:t>
      </w:r>
      <m:oMath>
        <m:r>
          <m:rPr>
            <m:sty m:val="p"/>
          </m:rPr>
          <m:t>±</m:t>
        </m:r>
        <m:r>
          <m:t>σ</m:t>
        </m:r>
      </m:oMath>
      <w:r>
        <w:t xml:space="preserve"> </w:t>
      </w:r>
      <w:r>
        <w:t xml:space="preserve">around it (the Gaussian spread); the rightward arrow over the tail marks the exponential component</w:t>
      </w:r>
      <w:r>
        <w:t xml:space="preserve"> </w:t>
      </w:r>
      <m:oMath>
        <m:r>
          <m:t>τ</m:t>
        </m:r>
      </m:oMath>
      <w:r>
        <w:t xml:space="preserve">, which stretches the distribution to the right; and the solid line marks the overall mean</w:t>
      </w:r>
      <w:r>
        <w:t xml:space="preserve"> </w:t>
      </w:r>
      <m:oMath>
        <m:r>
          <m:t>E</m:t>
        </m:r>
        <m:r>
          <m:rPr>
            <m:sty m:val="p"/>
          </m:rPr>
          <m:t>(</m:t>
        </m:r>
        <m:r>
          <m:t>R</m:t>
        </m:r>
        <m:r>
          <m:t>T</m:t>
        </m:r>
        <m:r>
          <m:rPr>
            <m:sty m:val="p"/>
          </m:rPr>
          <m:t>)</m:t>
        </m:r>
        <m:r>
          <m:rPr>
            <m:sty m:val="p"/>
          </m:rPr>
          <m:t>=</m:t>
        </m:r>
        <m:r>
          <m:t>μ</m:t>
        </m:r>
        <m:r>
          <m:rPr>
            <m:sty m:val="p"/>
          </m:rPr>
          <m:t>+</m:t>
        </m:r>
        <m:r>
          <m:t>τ</m:t>
        </m:r>
      </m:oMath>
      <w:r>
        <w:t xml:space="preserve">, which is 600 ms in both conditions. The bottom span highlights that</w:t>
      </w:r>
      <w:r>
        <w:t xml:space="preserve"> </w:t>
      </w:r>
      <m:oMath>
        <m:r>
          <m:t>E</m:t>
        </m:r>
        <m:r>
          <m:rPr>
            <m:sty m:val="p"/>
          </m:rPr>
          <m:t>(</m:t>
        </m:r>
        <m:r>
          <m:t>R</m:t>
        </m:r>
        <m:r>
          <m:t>T</m:t>
        </m:r>
        <m:r>
          <m:rPr>
            <m:sty m:val="p"/>
          </m:rPr>
          <m:t>)</m:t>
        </m:r>
      </m:oMath>
      <w:r>
        <w:t xml:space="preserve"> </w:t>
      </w:r>
      <w:r>
        <w:t xml:space="preserve">is the mean of the</w:t>
      </w:r>
      <w:r>
        <w:t xml:space="preserve"> </w:t>
      </w:r>
      <w:r>
        <w:rPr>
          <w:i/>
          <w:iCs/>
        </w:rPr>
        <w:t xml:space="preserve">entire</w:t>
      </w:r>
      <w:r>
        <w:t xml:space="preserve"> </w:t>
      </w:r>
      <w:r>
        <w:t xml:space="preserve">distribution — the quantity the default</w:t>
      </w:r>
      <w:r>
        <w:t xml:space="preserve"> </w:t>
      </w:r>
      <w:r>
        <w:rPr>
          <w:rStyle w:val="VerbatimChar"/>
        </w:rPr>
        <w:t xml:space="preserve">brms</w:t>
      </w:r>
      <w:r>
        <w:t xml:space="preserve"> </w:t>
      </w:r>
      <w:r>
        <w:rPr>
          <w:rStyle w:val="VerbatimChar"/>
        </w:rPr>
        <w:t xml:space="preserve">mu</w:t>
      </w:r>
      <w:r>
        <w:t xml:space="preserve"> </w:t>
      </w:r>
      <w:r>
        <w:t xml:space="preserve">estimates.</w:t>
      </w:r>
    </w:p>
    <w:p>
      <w:pPr>
        <w:pStyle w:val="FigureWithoutNote"/>
      </w:pPr>
      <w:r>
        <w:drawing>
          <wp:inline>
            <wp:extent cx="5943600" cy="4754880"/>
            <wp:effectExtent b="0" l="0" r="0" t="0"/>
            <wp:docPr descr="" title="" id="45" name="Picture"/>
            <a:graphic>
              <a:graphicData uri="http://schemas.openxmlformats.org/drawingml/2006/picture">
                <pic:pic>
                  <pic:nvPicPr>
                    <pic:cNvPr descr="ms_files/figure-docx/fig-datagen-1.png" id="46" name="Picture"/>
                    <pic:cNvPicPr>
                      <a:picLocks noChangeArrowheads="1" noChangeAspect="1"/>
                    </pic:cNvPicPr>
                  </pic:nvPicPr>
                  <pic:blipFill>
                    <a:blip r:embed="rId44"/>
                    <a:stretch>
                      <a:fillRect/>
                    </a:stretch>
                  </pic:blipFill>
                  <pic:spPr bwMode="auto">
                    <a:xfrm>
                      <a:off x="0" y="0"/>
                      <a:ext cx="5943600" cy="4754880"/>
                    </a:xfrm>
                    <a:prstGeom prst="rect">
                      <a:avLst/>
                    </a:prstGeom>
                    <a:noFill/>
                    <a:ln w="9525">
                      <a:noFill/>
                      <a:headEnd/>
                      <a:tailEnd/>
                    </a:ln>
                  </pic:spPr>
                </pic:pic>
              </a:graphicData>
            </a:graphic>
          </wp:inline>
        </w:drawing>
      </w:r>
    </w:p>
    <w:bookmarkEnd w:id="47"/>
    <w:bookmarkEnd w:id="48"/>
    <w:bookmarkStart w:id="57" w:name="default-brms-parameterization"/>
    <w:p>
      <w:pPr>
        <w:pStyle w:val="Heading2"/>
      </w:pPr>
      <w:r>
        <w:t xml:space="preserve">Default {brms} Parameterization</w:t>
      </w:r>
    </w:p>
    <w:p>
      <w:pPr>
        <w:pStyle w:val="FirstParagraph"/>
      </w:pPr>
      <w:r>
        <w:t xml:space="preserve">Using this data we fit the default</w:t>
      </w:r>
      <w:r>
        <w:t xml:space="preserve"> </w:t>
      </w:r>
      <w:r>
        <w:rPr>
          <w:rStyle w:val="VerbatimChar"/>
        </w:rPr>
        <w:t xml:space="preserve">brms</w:t>
      </w:r>
      <w:r>
        <w:t xml:space="preserve"> </w:t>
      </w:r>
      <w:r>
        <w:t xml:space="preserve">ex-Gaussian model. In this parameterization, the parameter labeled</w:t>
      </w:r>
      <w:r>
        <w:t xml:space="preserve"> </w:t>
      </w:r>
      <w:r>
        <w:rPr>
          <w:rStyle w:val="VerbatimChar"/>
        </w:rPr>
        <w:t xml:space="preserve">mu</w:t>
      </w:r>
      <w:r>
        <w:t xml:space="preserve"> </w:t>
      </w:r>
      <w:r>
        <w:t xml:space="preserve">represents the expected value of the full ex-Gaussian distribution rather than the location of its Gaussian component.</w:t>
      </w:r>
    </w:p>
    <w:p>
      <w:pPr>
        <w:pStyle w:val="BodyText"/>
      </w:pPr>
      <w:r>
        <w:t xml:space="preserve">The exponential component is labeled</w:t>
      </w:r>
      <w:r>
        <w:t xml:space="preserve"> </w:t>
      </w:r>
      <w:r>
        <w:rPr>
          <w:rStyle w:val="VerbatimChar"/>
        </w:rPr>
        <w:t xml:space="preserve">beta</w:t>
      </w:r>
      <w:r>
        <w:t xml:space="preserve">. On the response scale,</w:t>
      </w:r>
      <w:r>
        <w:t xml:space="preserve"> </w:t>
      </w:r>
      <w:r>
        <w:rPr>
          <w:rStyle w:val="VerbatimChar"/>
        </w:rPr>
        <w:t xml:space="preserve">beta</w:t>
      </w:r>
      <w:r>
        <w:t xml:space="preserve"> </w:t>
      </w:r>
      <w:r>
        <w:t xml:space="preserve">corresponds to the classical ex-Gaussian parameter</w:t>
      </w:r>
      <w:r>
        <w:t xml:space="preserve"> </w:t>
      </w:r>
      <m:oMath>
        <m:r>
          <m:t>τ</m:t>
        </m:r>
      </m:oMath>
      <w:r>
        <w:t xml:space="preserve">:</w:t>
      </w:r>
    </w:p>
    <w:p>
      <w:pPr>
        <w:pStyle w:val="BodyText"/>
      </w:pPr>
      <m:oMathPara>
        <m:oMathParaPr>
          <m:jc m:val="center"/>
        </m:oMathParaPr>
        <m:oMath>
          <m:sSub>
            <m:e>
              <m:r>
                <m:t>β</m:t>
              </m:r>
            </m:e>
            <m:sub>
              <m:r>
                <m:rPr>
                  <m:nor/>
                  <m:scr m:val="monospace"/>
                  <m:sty m:val="p"/>
                </m:rPr>
                <m:t>brms</m:t>
              </m:r>
            </m:sub>
          </m:sSub>
          <m:r>
            <m:rPr>
              <m:sty m:val="p"/>
            </m:rPr>
            <m:t>=</m:t>
          </m:r>
          <m:sSub>
            <m:e>
              <m:r>
                <m:t>τ</m:t>
              </m:r>
            </m:e>
            <m:sub>
              <m:r>
                <m:rPr>
                  <m:nor/>
                  <m:sty m:val="p"/>
                </m:rPr>
                <m:t>classical</m:t>
              </m:r>
            </m:sub>
          </m:sSub>
          <m:r>
            <m:rPr>
              <m:sty m:val="p"/>
            </m:rPr>
            <m:t>.</m:t>
          </m:r>
        </m:oMath>
      </m:oMathPara>
    </w:p>
    <w:p>
      <w:pPr>
        <w:pStyle w:val="FirstParagraph"/>
      </w:pPr>
      <w:r>
        <w:t xml:space="preserve">Thus,</w:t>
      </w:r>
      <w:r>
        <w:t xml:space="preserve"> </w:t>
      </w:r>
      <w:r>
        <w:rPr>
          <w:rStyle w:val="VerbatimChar"/>
        </w:rPr>
        <w:t xml:space="preserve">beta</w:t>
      </w:r>
      <w:r>
        <w:t xml:space="preserve"> </w:t>
      </w:r>
      <w:r>
        <w:t xml:space="preserve">and</w:t>
      </w:r>
      <w:r>
        <w:t xml:space="preserve"> </w:t>
      </w:r>
      <m:oMath>
        <m:r>
          <m:t>τ</m:t>
        </m:r>
      </m:oMath>
      <w:r>
        <w:t xml:space="preserve"> </w:t>
      </w:r>
      <w:r>
        <w:t xml:space="preserve">are not substantively different quantities. Both represent the mean of the exponential component. The difference is primarily one of notation. The important difference between the default {brms} model and the classical parameterization concerns</w:t>
      </w:r>
      <w:r>
        <w:t xml:space="preserve"> </w:t>
      </w:r>
      <w:r>
        <w:rPr>
          <w:rStyle w:val="VerbatimChar"/>
        </w:rPr>
        <w:t xml:space="preserve">mu</w:t>
      </w:r>
      <w:r>
        <w:t xml:space="preserve">:</w:t>
      </w:r>
    </w:p>
    <w:p>
      <w:pPr>
        <w:pStyle w:val="BodyText"/>
      </w:pPr>
      <m:oMathPara>
        <m:oMathParaPr>
          <m:jc m:val="center"/>
        </m:oMathParaPr>
        <m:oMath>
          <m:sSub>
            <m:e>
              <m:r>
                <m:t>μ</m:t>
              </m:r>
            </m:e>
            <m:sub>
              <m:r>
                <m:rPr>
                  <m:nor/>
                  <m:scr m:val="monospace"/>
                  <m:sty m:val="p"/>
                </m:rPr>
                <m:t>brms</m:t>
              </m:r>
            </m:sub>
          </m:sSub>
          <m:r>
            <m:rPr>
              <m:sty m:val="p"/>
            </m:rPr>
            <m:t>=</m:t>
          </m:r>
          <m:sSub>
            <m:e>
              <m:r>
                <m:t>μ</m:t>
              </m:r>
            </m:e>
            <m:sub>
              <m:r>
                <m:rPr>
                  <m:nor/>
                  <m:sty m:val="p"/>
                </m:rPr>
                <m:t>classical</m:t>
              </m:r>
            </m:sub>
          </m:sSub>
          <m:r>
            <m:rPr>
              <m:sty m:val="p"/>
            </m:rPr>
            <m:t>+</m:t>
          </m:r>
          <m:r>
            <m:t>τ</m:t>
          </m:r>
          <m:r>
            <m:rPr>
              <m:sty m:val="p"/>
            </m:rPr>
            <m:t>.</m:t>
          </m:r>
        </m:oMath>
      </m:oMathPara>
    </w:p>
    <w:p>
      <w:pPr>
        <w:pStyle w:val="FirstParagraph"/>
      </w:pPr>
      <w:r>
        <w:t xml:space="preserve">In other words, the default {brms} parameterization uses</w:t>
      </w:r>
      <w:r>
        <w:t xml:space="preserve"> </w:t>
      </w:r>
      <w:r>
        <w:rPr>
          <w:rStyle w:val="VerbatimChar"/>
        </w:rPr>
        <w:t xml:space="preserve">mu</w:t>
      </w:r>
      <w:r>
        <w:t xml:space="preserve"> </w:t>
      </w:r>
      <w:r>
        <w:t xml:space="preserve">for the expected value of the complete ex-Gaussian distribution, whereas the classical parameterization uses</w:t>
      </w:r>
      <w:r>
        <w:t xml:space="preserve"> </w:t>
      </w:r>
      <m:oMath>
        <m:r>
          <m:t>μ</m:t>
        </m:r>
      </m:oMath>
      <w:r>
        <w:t xml:space="preserve"> </w:t>
      </w:r>
      <w:r>
        <w:t xml:space="preserve">for the location of the Gaussian component.</w:t>
      </w:r>
    </w:p>
    <w:p>
      <w:pPr>
        <w:pStyle w:val="BodyText"/>
      </w:pPr>
      <w:r>
        <w:t xml:space="preserve">Both the expected response and the exponential component are allowed to vary across conditions.</w:t>
      </w:r>
    </w:p>
    <w:bookmarkStart w:id="51" w:name="prior-specification"/>
    <w:p>
      <w:pPr>
        <w:pStyle w:val="Heading3"/>
      </w:pPr>
      <w:r>
        <w:t xml:space="preserve">Prior Specification</w:t>
      </w:r>
    </w:p>
    <w:p>
      <w:pPr>
        <w:pStyle w:val="FirstParagraph"/>
      </w:pPr>
      <w:r>
        <w:t xml:space="preserve">The priors were selected to reflect the known scale of the simulated data while remaining sufficiently broad to allow the model to recover deviations from the generating values.</w:t>
      </w:r>
      <w:r>
        <w:t xml:space="preserve"> </w:t>
      </w:r>
      <w:hyperlink w:anchor="tbl-priors">
        <w:r>
          <w:rPr>
            <w:rStyle w:val="Hyperlink"/>
          </w:rPr>
          <w:t xml:space="preserve">Table 2</w:t>
        </w:r>
      </w:hyperlink>
      <w:r>
        <w:t xml:space="preserve"> </w:t>
      </w:r>
      <w:r>
        <w:t xml:space="preserve">shows these priors alongside those used for the classical parameterization introduced later, so the two specifications can be compared directly.</w:t>
      </w:r>
    </w:p>
    <w:bookmarkStart w:id="49" w:name="tbl-priors"/>
    <w:p>
      <w:pPr>
        <w:pStyle w:val="FigureTitle"/>
      </w:pPr>
      <w:r>
        <w:t xml:space="preserve">Table 2</w:t>
      </w:r>
    </w:p>
    <w:p>
      <w:pPr>
        <w:pStyle w:val="Caption"/>
      </w:pPr>
      <w:r>
        <w:t xml:space="preserve">Prior specification for the default and classical ex-Gaussian models.</w:t>
      </w:r>
    </w:p>
    <w:tbl>
      <w:tblPr>
        <w:tblStyle w:val="Table"/>
        <w:tblW w:type="pct" w:w="4968"/>
        <w:tblLayout w:type="fixed"/>
        <w:tblLook w:firstRow="1" w:lastRow="0" w:firstColumn="0" w:lastColumn="0" w:noHBand="0" w:noVBand="0" w:val="0020"/>
      </w:tblPr>
      <w:tblGrid>
        <w:gridCol w:w="512"/>
        <w:gridCol w:w="615"/>
        <w:gridCol w:w="615"/>
        <w:gridCol w:w="6125"/>
      </w:tblGrid>
      <w:tr>
        <w:trPr>
          <w:tblHeader w:val="on"/>
        </w:trPr>
        <w:tc>
          <w:tcPr/>
          <w:p>
            <w:pPr>
              <w:pStyle w:val="Compact"/>
            </w:pPr>
            <w:r>
              <w:t xml:space="preserve">Parameter</w:t>
            </w:r>
          </w:p>
        </w:tc>
        <w:tc>
          <w:tcPr/>
          <w:p>
            <w:pPr>
              <w:pStyle w:val="Compact"/>
            </w:pPr>
            <w:r>
              <w:t xml:space="preserve">Default Prior</w:t>
            </w:r>
          </w:p>
        </w:tc>
        <w:tc>
          <w:tcPr/>
          <w:p>
            <w:pPr>
              <w:pStyle w:val="Compact"/>
            </w:pPr>
            <w:r>
              <w:t xml:space="preserve">Classical Prior</w:t>
            </w:r>
          </w:p>
        </w:tc>
        <w:tc>
          <w:tcPr/>
          <w:p>
            <w:pPr>
              <w:pStyle w:val="Compact"/>
            </w:pPr>
            <w:r>
              <w:t xml:space="preserve">Notes</w:t>
            </w:r>
          </w:p>
        </w:tc>
      </w:tr>
      <w:tr>
        <w:tc>
          <w:tcPr/>
          <w:p>
            <w:pPr>
              <w:pStyle w:val="Compact"/>
            </w:pPr>
            <w:r>
              <w:t xml:space="preserve">Intercept (μ)</w:t>
            </w:r>
          </w:p>
        </w:tc>
        <w:tc>
          <w:tcPr/>
          <w:p>
            <w:pPr>
              <w:pStyle w:val="Compact"/>
            </w:pPr>
            <w:r>
              <w:t xml:space="preserve">Normal(600, 100)</w:t>
            </w:r>
          </w:p>
        </w:tc>
        <w:tc>
          <w:tcPr/>
          <w:p>
            <w:pPr>
              <w:pStyle w:val="Compact"/>
            </w:pPr>
            <w:r>
              <w:t xml:space="preserve">Normal(500, 100)</w:t>
            </w:r>
          </w:p>
        </w:tc>
        <w:tc>
          <w:tcPr/>
          <w:p>
            <w:pPr>
              <w:pStyle w:val="Compact"/>
            </w:pPr>
            <w:r>
              <w:t xml:space="preserve">Same form; centered on each parameterization’s reference-condition value (E(RT) = 600 ms vs. Gaussian location = 500 ms); both mu and E(RT) use an identity link, so both priors are on the response scale</w:t>
            </w:r>
          </w:p>
        </w:tc>
      </w:tr>
      <w:tr>
        <w:tc>
          <w:tcPr/>
          <w:p>
            <w:pPr>
              <w:pStyle w:val="Compact"/>
            </w:pPr>
            <w:r>
              <w:t xml:space="preserve">Blur (μ)</w:t>
            </w:r>
          </w:p>
        </w:tc>
        <w:tc>
          <w:tcPr/>
          <w:p>
            <w:pPr>
              <w:pStyle w:val="Compact"/>
            </w:pPr>
            <w:r>
              <w:t xml:space="preserve">Normal(0, 50)</w:t>
            </w:r>
          </w:p>
        </w:tc>
        <w:tc>
          <w:tcPr/>
          <w:p>
            <w:pPr>
              <w:pStyle w:val="Compact"/>
            </w:pPr>
            <w:r>
              <w:t xml:space="preserve">Normal(0, 50)</w:t>
            </w:r>
          </w:p>
        </w:tc>
        <w:tc>
          <w:tcPr/>
          <w:p>
            <w:pPr>
              <w:pStyle w:val="Compact"/>
            </w:pPr>
            <w:r>
              <w:t xml:space="preserve">Identical across parameterizations; no assumed direction for the effect of Blur</w:t>
            </w:r>
          </w:p>
        </w:tc>
      </w:tr>
      <w:tr>
        <w:tc>
          <w:tcPr/>
          <w:p>
            <w:pPr>
              <w:pStyle w:val="Compact"/>
            </w:pPr>
            <w:r>
              <w:t xml:space="preserve">Intercept (β / τ)</w:t>
            </w:r>
          </w:p>
        </w:tc>
        <w:tc>
          <w:tcPr/>
          <w:p>
            <w:pPr>
              <w:pStyle w:val="Compact"/>
            </w:pPr>
            <w:r>
              <w:t xml:space="preserve">Normal(log(100), 0.5)</w:t>
            </w:r>
          </w:p>
        </w:tc>
        <w:tc>
          <w:tcPr/>
          <w:p>
            <w:pPr>
              <w:pStyle w:val="Compact"/>
            </w:pPr>
            <w:r>
              <w:t xml:space="preserve">Normal(log(100), 0.5)</w:t>
            </w:r>
          </w:p>
        </w:tc>
        <w:tc>
          <w:tcPr/>
          <w:p>
            <w:pPr>
              <w:pStyle w:val="Compact"/>
            </w:pPr>
            <w:r>
              <w:t xml:space="preserve">Identical form in both models: brms’s native</w:t>
            </w:r>
            <w:r>
              <w:t xml:space="preserve"> </w:t>
            </w:r>
            <w:r>
              <w:rPr>
                <w:rStyle w:val="VerbatimChar"/>
              </w:rPr>
              <w:t xml:space="preserve">exgaussian()</w:t>
            </w:r>
            <w:r>
              <w:t xml:space="preserve"> </w:t>
            </w:r>
            <w:r>
              <w:t xml:space="preserve">and {cogmod}’s</w:t>
            </w:r>
            <w:r>
              <w:t xml:space="preserve"> </w:t>
            </w:r>
            <w:r>
              <w:rPr>
                <w:rStyle w:val="VerbatimChar"/>
              </w:rPr>
              <w:t xml:space="preserve">rt_exgaussian()</w:t>
            </w:r>
            <w:r>
              <w:t xml:space="preserve"> </w:t>
            </w:r>
            <w:r>
              <w:t xml:space="preserve">(here fit with</w:t>
            </w:r>
            <w:r>
              <w:t xml:space="preserve"> </w:t>
            </w:r>
            <w:r>
              <w:rPr>
                <w:rStyle w:val="VerbatimChar"/>
              </w:rPr>
              <w:t xml:space="preserve">link_tau = "log"</w:t>
            </w:r>
            <w:r>
              <w:t xml:space="preserve">) both use a log link for the exponential component, so the prior is on the log scale, centered at log(100 ms)</w:t>
            </w:r>
          </w:p>
        </w:tc>
      </w:tr>
      <w:tr>
        <w:tc>
          <w:tcPr/>
          <w:p>
            <w:pPr>
              <w:pStyle w:val="Compact"/>
            </w:pPr>
            <w:r>
              <w:t xml:space="preserve">Blur (β / τ)</w:t>
            </w:r>
          </w:p>
        </w:tc>
        <w:tc>
          <w:tcPr/>
          <w:p>
            <w:pPr>
              <w:pStyle w:val="Compact"/>
            </w:pPr>
            <w:r>
              <w:t xml:space="preserve">Normal(0, 0.5)</w:t>
            </w:r>
          </w:p>
        </w:tc>
        <w:tc>
          <w:tcPr/>
          <w:p>
            <w:pPr>
              <w:pStyle w:val="Compact"/>
            </w:pPr>
            <w:r>
              <w:t xml:space="preserve">Normal(0, 0.5)</w:t>
            </w:r>
          </w:p>
        </w:tc>
        <w:tc>
          <w:tcPr/>
          <w:p>
            <w:pPr>
              <w:pStyle w:val="Compact"/>
            </w:pPr>
            <w:r>
              <w:t xml:space="preserve">Identical across parameterizations; no assumed direction for the effect of Blur, expressed on the log scale</w:t>
            </w:r>
          </w:p>
        </w:tc>
      </w:tr>
      <w:tr>
        <w:tc>
          <w:tcPr/>
          <w:p>
            <w:pPr>
              <w:pStyle w:val="Compact"/>
            </w:pPr>
            <w:r>
              <w:t xml:space="preserve">Intercept (σ)</w:t>
            </w:r>
          </w:p>
        </w:tc>
        <w:tc>
          <w:tcPr/>
          <w:p>
            <w:pPr>
              <w:pStyle w:val="Compact"/>
            </w:pPr>
            <w:r>
              <w:t xml:space="preserve">brms default</w:t>
            </w:r>
          </w:p>
        </w:tc>
        <w:tc>
          <w:tcPr/>
          <w:p>
            <w:pPr>
              <w:pStyle w:val="Compact"/>
            </w:pPr>
            <w:r>
              <w:t xml:space="preserve">Normal(log(60), 0.5)</w:t>
            </w:r>
          </w:p>
        </w:tc>
        <w:tc>
          <w:tcPr/>
          <w:p>
            <w:pPr>
              <w:pStyle w:val="Compact"/>
            </w:pPr>
            <w:r>
              <w:t xml:space="preserve">Only the classical model estimates sigma explicitly; fit with</w:t>
            </w:r>
            <w:r>
              <w:t xml:space="preserve"> </w:t>
            </w:r>
            <w:r>
              <w:rPr>
                <w:rStyle w:val="VerbatimChar"/>
              </w:rPr>
              <w:t xml:space="preserve">link_sigma = "log"</w:t>
            </w:r>
            <w:r>
              <w:t xml:space="preserve">, so the prior is on the log scale, centered at log(60 ms)</w:t>
            </w:r>
          </w:p>
        </w:tc>
      </w:tr>
    </w:tbl>
    <w:bookmarkEnd w:id="49"/>
    <w:p>
      <w:pPr>
        <w:pStyle w:val="AfterWithoutNote"/>
      </w:pPr>
      <w:r>
        <w:t xml:space="preserve">In {brms}, the</w:t>
      </w:r>
      <w:r>
        <w:t xml:space="preserve"> </w:t>
      </w:r>
      <w:r>
        <w:rPr>
          <w:rStyle w:val="VerbatimChar"/>
        </w:rPr>
        <w:t xml:space="preserve">bf()</w:t>
      </w:r>
      <w:r>
        <w:t xml:space="preserve"> </w:t>
      </w:r>
      <w:r>
        <w:t xml:space="preserve">function combines separate linear-model formulas for each parameter of the response distribution into a single distributional-formula object passed to</w:t>
      </w:r>
      <w:r>
        <w:t xml:space="preserve"> </w:t>
      </w:r>
      <w:r>
        <w:rPr>
          <w:rStyle w:val="VerbatimChar"/>
        </w:rPr>
        <w:t xml:space="preserve">brm()</w:t>
      </w:r>
      <w:r>
        <w:t xml:space="preserve">. For the ex-Gaussian family, this lets</w:t>
      </w:r>
      <w:r>
        <w:t xml:space="preserve"> </w:t>
      </w:r>
      <w:r>
        <w:rPr>
          <w:rStyle w:val="VerbatimChar"/>
        </w:rPr>
        <w:t xml:space="preserve">mu</w:t>
      </w:r>
      <w:r>
        <w:t xml:space="preserve">,</w:t>
      </w:r>
      <w:r>
        <w:t xml:space="preserve"> </w:t>
      </w:r>
      <w:r>
        <w:rPr>
          <w:rStyle w:val="VerbatimChar"/>
        </w:rPr>
        <w:t xml:space="preserve">sigma</w:t>
      </w:r>
      <w:r>
        <w:t xml:space="preserve">, and</w:t>
      </w:r>
      <w:r>
        <w:t xml:space="preserve"> </w:t>
      </w:r>
      <w:r>
        <w:rPr>
          <w:rStyle w:val="VerbatimChar"/>
        </w:rPr>
        <w:t xml:space="preserve">beta</w:t>
      </w:r>
      <w:r>
        <w:t xml:space="preserve"> </w:t>
      </w:r>
      <w:r>
        <w:t xml:space="preserve">each be modeled by their own predictors within one call: below,</w:t>
      </w:r>
      <w:r>
        <w:t xml:space="preserve"> </w:t>
      </w:r>
      <w:r>
        <w:rPr>
          <w:rStyle w:val="VerbatimChar"/>
        </w:rPr>
        <w:t xml:space="preserve">rt ~ Blur</w:t>
      </w:r>
      <w:r>
        <w:t xml:space="preserve"> </w:t>
      </w:r>
      <w:r>
        <w:t xml:space="preserve">models</w:t>
      </w:r>
      <w:r>
        <w:t xml:space="preserve"> </w:t>
      </w:r>
      <w:r>
        <w:rPr>
          <w:rStyle w:val="VerbatimChar"/>
        </w:rPr>
        <w:t xml:space="preserve">mu</w:t>
      </w:r>
      <w:r>
        <w:t xml:space="preserve"> </w:t>
      </w:r>
      <w:r>
        <w:t xml:space="preserve">as a function of Blur,</w:t>
      </w:r>
      <w:r>
        <w:t xml:space="preserve"> </w:t>
      </w:r>
      <w:r>
        <w:rPr>
          <w:rStyle w:val="VerbatimChar"/>
        </w:rPr>
        <w:t xml:space="preserve">sigma ~ 1</w:t>
      </w:r>
      <w:r>
        <w:t xml:space="preserve"> </w:t>
      </w:r>
      <w:r>
        <w:t xml:space="preserve">holds the Gaussian standard deviation constant across conditions, and</w:t>
      </w:r>
      <w:r>
        <w:t xml:space="preserve"> </w:t>
      </w:r>
      <w:r>
        <w:rPr>
          <w:rStyle w:val="VerbatimChar"/>
        </w:rPr>
        <w:t xml:space="preserve">beta ~ Blur</w:t>
      </w:r>
      <w:r>
        <w:t xml:space="preserve"> </w:t>
      </w:r>
      <w:r>
        <w:t xml:space="preserve">allows the exponential mean to vary by Blur as well. The model is fit with 2 MCMC chains of 2,000 iterations each (including 500 warmup iterations), more than sufficient for a model this simple.</w:t>
      </w:r>
    </w:p>
    <w:p>
      <w:pPr>
        <w:pStyle w:val="BodyText"/>
      </w:pPr>
      <w:r>
        <w:t xml:space="preserve">The model can then be fit as follows (</w:t>
      </w:r>
      <w:hyperlink w:anchor="lst-fit-default">
        <w:r>
          <w:rPr>
            <w:rStyle w:val="Hyperlink"/>
          </w:rPr>
          <w:t xml:space="preserve">Listing 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50" w:name="lst-fit-default"/>
          <w:p>
            <w:pPr>
              <w:jc w:val="left"/>
            </w:pPr>
            <w:pPr>
              <w:jc w:val="left"/>
              <w:spacing w:before="200"/>
              <w:pStyle w:val="ImageCaption"/>
            </w:pPr>
            <w:r>
              <w:t xml:space="preserve">Listing 3: Fitting the default ex-Gaussian model in brms.</w:t>
            </w:r>
          </w:p>
          <w:p>
            <w:pPr>
              <w:pStyle w:val="SourceCode"/>
              <w:jc w:val="left"/>
            </w:pPr>
            <w:r>
              <w:rPr>
                <w:rStyle w:val="NormalTok"/>
              </w:rPr>
              <w:t xml:space="preserve">fit_brms </w:t>
            </w:r>
            <w:r>
              <w:rPr>
                <w:rStyle w:val="OtherTok"/>
              </w:rPr>
              <w:t xml:space="preserve">&lt;-</w:t>
            </w:r>
            <w:r>
              <w:rPr>
                <w:rStyle w:val="NormalTok"/>
              </w:rPr>
              <w:t xml:space="preserve"> </w:t>
            </w:r>
            <w:r>
              <w:rPr>
                <w:rStyle w:val="FunctionTok"/>
              </w:rPr>
              <w:t xml:space="preserve">brm</w:t>
            </w:r>
            <w:r>
              <w:rPr>
                <w:rStyle w:val="NormalTok"/>
              </w:rPr>
              <w:t xml:space="preserve">(</w:t>
            </w:r>
            <w:r>
              <w:br/>
            </w:r>
            <w:r>
              <w:rPr>
                <w:rStyle w:val="NormalTok"/>
              </w:rPr>
              <w:t xml:space="preserve">  </w:t>
            </w:r>
            <w:r>
              <w:rPr>
                <w:rStyle w:val="FunctionTok"/>
              </w:rPr>
              <w:t xml:space="preserve">bf</w:t>
            </w:r>
            <w:r>
              <w:rPr>
                <w:rStyle w:val="NormalTok"/>
              </w:rPr>
              <w:t xml:space="preserve">(</w:t>
            </w:r>
            <w:r>
              <w:br/>
            </w:r>
            <w:r>
              <w:rPr>
                <w:rStyle w:val="NormalTok"/>
              </w:rPr>
              <w:t xml:space="preserve">    rt </w:t>
            </w:r>
            <w:r>
              <w:rPr>
                <w:rStyle w:val="SpecialCharTok"/>
              </w:rPr>
              <w:t xml:space="preserve">~</w:t>
            </w:r>
            <w:r>
              <w:rPr>
                <w:rStyle w:val="NormalTok"/>
              </w:rPr>
              <w:t xml:space="preserve"> Blur, </w:t>
            </w:r>
            <w:r>
              <w:rPr>
                <w:rStyle w:val="CommentTok"/>
              </w:rPr>
              <w:t xml:space="preserve"># mu submodel: here mu is E(RT), not the Gaussian location</w:t>
            </w:r>
            <w:r>
              <w:br/>
            </w:r>
            <w:r>
              <w:rPr>
                <w:rStyle w:val="NormalTok"/>
              </w:rPr>
              <w:t xml:space="preserve">    sigma </w:t>
            </w:r>
            <w:r>
              <w:rPr>
                <w:rStyle w:val="SpecialCharTok"/>
              </w:rPr>
              <w:t xml:space="preserve">~</w:t>
            </w:r>
            <w:r>
              <w:rPr>
                <w:rStyle w:val="NormalTok"/>
              </w:rPr>
              <w:t xml:space="preserve"> </w:t>
            </w:r>
            <w:r>
              <w:rPr>
                <w:rStyle w:val="DecValTok"/>
              </w:rPr>
              <w:t xml:space="preserve">1</w:t>
            </w:r>
            <w:r>
              <w:rPr>
                <w:rStyle w:val="NormalTok"/>
              </w:rPr>
              <w:t xml:space="preserve">, </w:t>
            </w:r>
            <w:r>
              <w:rPr>
                <w:rStyle w:val="CommentTok"/>
              </w:rPr>
              <w:t xml:space="preserve"># constant Gaussian SD</w:t>
            </w:r>
            <w:r>
              <w:br/>
            </w:r>
            <w:r>
              <w:rPr>
                <w:rStyle w:val="NormalTok"/>
              </w:rPr>
              <w:t xml:space="preserve">    beta </w:t>
            </w:r>
            <w:r>
              <w:rPr>
                <w:rStyle w:val="SpecialCharTok"/>
              </w:rPr>
              <w:t xml:space="preserve">~</w:t>
            </w:r>
            <w:r>
              <w:rPr>
                <w:rStyle w:val="NormalTok"/>
              </w:rPr>
              <w:t xml:space="preserve"> Blur </w:t>
            </w:r>
            <w:r>
              <w:rPr>
                <w:rStyle w:val="CommentTok"/>
              </w:rPr>
              <w:t xml:space="preserve"># exponential mean (the classical tau), allowed to vary</w:t>
            </w:r>
            <w:r>
              <w:br/>
            </w:r>
            <w:r>
              <w:rPr>
                <w:rStyle w:val="NormalTok"/>
              </w:rPr>
              <w:t xml:space="preserve">  ),</w:t>
            </w:r>
            <w:r>
              <w:br/>
            </w:r>
            <w:r>
              <w:rPr>
                <w:rStyle w:val="NormalTok"/>
              </w:rPr>
              <w:t xml:space="preserve">  </w:t>
            </w:r>
            <w:r>
              <w:rPr>
                <w:rStyle w:val="AttributeTok"/>
              </w:rPr>
              <w:t xml:space="preserve">data =</w:t>
            </w:r>
            <w:r>
              <w:rPr>
                <w:rStyle w:val="NormalTok"/>
              </w:rPr>
              <w:t xml:space="preserve"> d,</w:t>
            </w:r>
            <w:r>
              <w:br/>
            </w:r>
            <w:r>
              <w:rPr>
                <w:rStyle w:val="NormalTok"/>
              </w:rPr>
              <w:t xml:space="preserve">  </w:t>
            </w:r>
            <w:r>
              <w:rPr>
                <w:rStyle w:val="AttributeTok"/>
              </w:rPr>
              <w:t xml:space="preserve">prior =</w:t>
            </w:r>
            <w:r>
              <w:rPr>
                <w:rStyle w:val="NormalTok"/>
              </w:rPr>
              <w:t xml:space="preserve"> priors_default, </w:t>
            </w:r>
            <w:r>
              <w:rPr>
                <w:rStyle w:val="CommentTok"/>
              </w:rPr>
              <w:t xml:space="preserve"># priors from above</w:t>
            </w:r>
            <w:r>
              <w:br/>
            </w:r>
            <w:r>
              <w:rPr>
                <w:rStyle w:val="NormalTok"/>
              </w:rPr>
              <w:t xml:space="preserve">  </w:t>
            </w:r>
            <w:r>
              <w:rPr>
                <w:rStyle w:val="AttributeTok"/>
              </w:rPr>
              <w:t xml:space="preserve">family =</w:t>
            </w:r>
            <w:r>
              <w:rPr>
                <w:rStyle w:val="NormalTok"/>
              </w:rPr>
              <w:t xml:space="preserve"> </w:t>
            </w:r>
            <w:r>
              <w:rPr>
                <w:rStyle w:val="FunctionTok"/>
              </w:rPr>
              <w:t xml:space="preserve">exgaussian</w:t>
            </w:r>
            <w:r>
              <w:rPr>
                <w:rStyle w:val="NormalTok"/>
              </w:rPr>
              <w:t xml:space="preserve">(), </w:t>
            </w:r>
            <w:r>
              <w:rPr>
                <w:rStyle w:val="CommentTok"/>
              </w:rPr>
              <w:t xml:space="preserve"># brms' built-in ex-Gaussian family</w:t>
            </w:r>
            <w:r>
              <w:br/>
            </w:r>
            <w:r>
              <w:rPr>
                <w:rStyle w:val="NormalTok"/>
              </w:rPr>
              <w:t xml:space="preserve">  </w:t>
            </w:r>
            <w:r>
              <w:rPr>
                <w:rStyle w:val="AttributeTok"/>
              </w:rPr>
              <w:t xml:space="preserve">chains =</w:t>
            </w:r>
            <w:r>
              <w:rPr>
                <w:rStyle w:val="NormalTok"/>
              </w:rPr>
              <w:t xml:space="preserve"> </w:t>
            </w:r>
            <w:r>
              <w:rPr>
                <w:rStyle w:val="DecValTok"/>
              </w:rPr>
              <w:t xml:space="preserve">2</w:t>
            </w:r>
            <w:r>
              <w:rPr>
                <w:rStyle w:val="NormalTok"/>
              </w:rPr>
              <w:t xml:space="preserve">,</w:t>
            </w:r>
            <w:r>
              <w:br/>
            </w:r>
            <w:r>
              <w:rPr>
                <w:rStyle w:val="NormalTok"/>
              </w:rPr>
              <w:t xml:space="preserve">  </w:t>
            </w:r>
            <w:r>
              <w:rPr>
                <w:rStyle w:val="AttributeTok"/>
              </w:rPr>
              <w:t xml:space="preserve">iter =</w:t>
            </w:r>
            <w:r>
              <w:rPr>
                <w:rStyle w:val="NormalTok"/>
              </w:rPr>
              <w:t xml:space="preserve"> </w:t>
            </w:r>
            <w:r>
              <w:rPr>
                <w:rStyle w:val="DecValTok"/>
              </w:rPr>
              <w:t xml:space="preserve">2000</w:t>
            </w:r>
            <w:r>
              <w:rPr>
                <w:rStyle w:val="NormalTok"/>
              </w:rPr>
              <w:t xml:space="preserve">, </w:t>
            </w:r>
            <w:r>
              <w:br/>
            </w:r>
            <w:r>
              <w:rPr>
                <w:rStyle w:val="NormalTok"/>
              </w:rPr>
              <w:t xml:space="preserve">  </w:t>
            </w:r>
            <w:r>
              <w:rPr>
                <w:rStyle w:val="AttributeTok"/>
              </w:rPr>
              <w:t xml:space="preserve">warmup =</w:t>
            </w:r>
            <w:r>
              <w:rPr>
                <w:rStyle w:val="NormalTok"/>
              </w:rPr>
              <w:t xml:space="preserve"> </w:t>
            </w:r>
            <w:r>
              <w:rPr>
                <w:rStyle w:val="DecValTok"/>
              </w:rPr>
              <w:t xml:space="preserve">500</w:t>
            </w:r>
            <w:r>
              <w:rPr>
                <w:rStyle w:val="NormalTok"/>
              </w:rPr>
              <w:t xml:space="preserve">,</w:t>
            </w:r>
            <w:r>
              <w:br/>
            </w:r>
            <w:r>
              <w:rPr>
                <w:rStyle w:val="NormalTok"/>
              </w:rPr>
              <w:t xml:space="preserve">  </w:t>
            </w:r>
            <w:r>
              <w:rPr>
                <w:rStyle w:val="AttributeTok"/>
              </w:rPr>
              <w:t xml:space="preserve">backend =</w:t>
            </w:r>
            <w:r>
              <w:rPr>
                <w:rStyle w:val="NormalTok"/>
              </w:rPr>
              <w:t xml:space="preserve"> </w:t>
            </w:r>
            <w:r>
              <w:rPr>
                <w:rStyle w:val="StringTok"/>
              </w:rPr>
              <w:t xml:space="preserve">"cmdstanr"</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seed =</w:t>
            </w:r>
            <w:r>
              <w:rPr>
                <w:rStyle w:val="NormalTok"/>
              </w:rPr>
              <w:t xml:space="preserve"> </w:t>
            </w:r>
            <w:r>
              <w:rPr>
                <w:rStyle w:val="DecValTok"/>
              </w:rPr>
              <w:t xml:space="preserve">1234</w:t>
            </w:r>
            <w:r>
              <w:rPr>
                <w:rStyle w:val="NormalTok"/>
              </w:rPr>
              <w:t xml:space="preserve">, </w:t>
            </w:r>
            <w:r>
              <w:rPr>
                <w:rStyle w:val="CommentTok"/>
              </w:rPr>
              <w:t xml:space="preserve"># reproducible draws</w:t>
            </w:r>
            <w:r>
              <w:br/>
            </w:r>
            <w:r>
              <w:rPr>
                <w:rStyle w:val="NormalTok"/>
              </w:rPr>
              <w:t xml:space="preserve">  </w:t>
            </w:r>
            <w:r>
              <w:rPr>
                <w:rStyle w:val="AttributeTok"/>
              </w:rPr>
              <w:t xml:space="preserve">file =</w:t>
            </w:r>
            <w:r>
              <w:rPr>
                <w:rStyle w:val="NormalTok"/>
              </w:rPr>
              <w:t xml:space="preserve"> </w:t>
            </w:r>
            <w:r>
              <w:rPr>
                <w:rStyle w:val="FunctionTok"/>
              </w:rPr>
              <w:t xml:space="preserve">file.path</w:t>
            </w:r>
            <w:r>
              <w:rPr>
                <w:rStyle w:val="NormalTok"/>
              </w:rPr>
              <w:t xml:space="preserve">(fits_dir, </w:t>
            </w:r>
            <w:r>
              <w:rPr>
                <w:rStyle w:val="StringTok"/>
              </w:rPr>
              <w:t xml:space="preserve">"fit-default"</w:t>
            </w:r>
            <w:r>
              <w:rPr>
                <w:rStyle w:val="NormalTok"/>
              </w:rPr>
              <w:t xml:space="preserve">), </w:t>
            </w:r>
            <w:r>
              <w:rPr>
                <w:rStyle w:val="CommentTok"/>
              </w:rPr>
              <w:t xml:space="preserve"># cache: skip refitting if unchanged</w:t>
            </w:r>
            <w:r>
              <w:br/>
            </w:r>
            <w:r>
              <w:rPr>
                <w:rStyle w:val="NormalTok"/>
              </w:rPr>
              <w:t xml:space="preserve">  </w:t>
            </w:r>
            <w:r>
              <w:rPr>
                <w:rStyle w:val="AttributeTok"/>
              </w:rPr>
              <w:t xml:space="preserve">file_refit =</w:t>
            </w:r>
            <w:r>
              <w:rPr>
                <w:rStyle w:val="NormalTok"/>
              </w:rPr>
              <w:t xml:space="preserve"> </w:t>
            </w:r>
            <w:r>
              <w:rPr>
                <w:rStyle w:val="StringTok"/>
              </w:rPr>
              <w:t xml:space="preserve">"on_change"</w:t>
            </w:r>
            <w:r>
              <w:rPr>
                <w:rStyle w:val="NormalTok"/>
              </w:rPr>
              <w:t xml:space="preserve"> </w:t>
            </w:r>
            <w:r>
              <w:rPr>
                <w:rStyle w:val="CommentTok"/>
              </w:rPr>
              <w:t xml:space="preserve"># but do refit if the model spec above changes</w:t>
            </w:r>
            <w:r>
              <w:br/>
            </w:r>
            <w:r>
              <w:rPr>
                <w:rStyle w:val="NormalTok"/>
              </w:rPr>
              <w:t xml:space="preserve">)</w:t>
            </w:r>
          </w:p>
          <w:bookmarkEnd w:id="50"/>
        </w:tc>
      </w:tr>
    </w:tbl>
    <w:bookmarkEnd w:id="51"/>
    <w:bookmarkStart w:id="52" w:name="estimating-ex-gaussian-parameters"/>
    <w:p>
      <w:pPr>
        <w:pStyle w:val="Heading3"/>
      </w:pPr>
      <w:r>
        <w:t xml:space="preserve">Estimating Ex-Gaussian Parameters</w:t>
      </w:r>
    </w:p>
    <w:p>
      <w:pPr>
        <w:pStyle w:val="FirstParagraph"/>
      </w:pPr>
      <w:r>
        <w:t xml:space="preserve">The</w:t>
      </w:r>
      <w:r>
        <w:t xml:space="preserve"> </w:t>
      </w:r>
      <w:r>
        <w:rPr>
          <w:rStyle w:val="VerbatimChar"/>
        </w:rPr>
        <w:t xml:space="preserve">{modelbased}</w:t>
      </w:r>
      <w:r>
        <w:t xml:space="preserve"> </w:t>
      </w:r>
      <w:r>
        <w:t xml:space="preserve">package</w:t>
      </w:r>
      <w:r>
        <w:t xml:space="preserve"> </w:t>
      </w:r>
      <w:r>
        <w:t xml:space="preserve">(</w:t>
      </w:r>
      <w:hyperlink w:anchor="ref-makowski2025modelbased">
        <w:r>
          <w:rPr>
            <w:rStyle w:val="Hyperlink"/>
          </w:rPr>
          <w:t xml:space="preserve">Makowski et al., 2025</w:t>
        </w:r>
      </w:hyperlink>
      <w:r>
        <w:t xml:space="preserve">)</w:t>
      </w:r>
      <w:r>
        <w:t xml:space="preserve">, which is part of the</w:t>
      </w:r>
      <w:r>
        <w:t xml:space="preserve"> </w:t>
      </w:r>
      <w:r>
        <w:rPr>
          <w:rStyle w:val="VerbatimChar"/>
        </w:rPr>
        <w:t xml:space="preserve">{easystats}</w:t>
      </w:r>
      <w:r>
        <w:t xml:space="preserve"> </w:t>
      </w:r>
      <w:r>
        <w:t xml:space="preserve">ecosystem</w:t>
      </w:r>
      <w:r>
        <w:t xml:space="preserve"> </w:t>
      </w:r>
      <w:r>
        <w:t xml:space="preserve">(</w:t>
      </w:r>
      <w:hyperlink w:anchor="ref-ludecke2019insight">
        <w:r>
          <w:rPr>
            <w:rStyle w:val="Hyperlink"/>
          </w:rPr>
          <w:t xml:space="preserve">Lüdecke et al., 2019</w:t>
        </w:r>
      </w:hyperlink>
      <w:r>
        <w:t xml:space="preserve">)</w:t>
      </w:r>
      <w:r>
        <w:t xml:space="preserve">, can easily be used to obtain condition-specific posterior estimates from a fitted model. The</w:t>
      </w:r>
      <w:r>
        <w:t xml:space="preserve"> </w:t>
      </w:r>
      <w:r>
        <w:rPr>
          <w:rStyle w:val="VerbatimChar"/>
        </w:rPr>
        <w:t xml:space="preserve">estimate_means()</w:t>
      </w:r>
      <w:r>
        <w:t xml:space="preserve"> </w:t>
      </w:r>
      <w:r>
        <w:t xml:space="preserve">function returns estimated parameters for each condition, back-transformed, so estimates are presented on the scale of interest (here milliseconds), whereas</w:t>
      </w:r>
      <w:r>
        <w:t xml:space="preserve"> </w:t>
      </w:r>
      <w:r>
        <w:rPr>
          <w:rStyle w:val="VerbatimChar"/>
        </w:rPr>
        <w:t xml:space="preserve">estimate_contrasts()</w:t>
      </w:r>
      <w:r>
        <w:t xml:space="preserve"> </w:t>
      </w:r>
      <w:r>
        <w:t xml:space="preserve">computes differences between conditions. To conserve space this code is not shown here, but interested readers can go to the GitHub repo and view the code.</w:t>
      </w:r>
    </w:p>
    <w:p>
      <w:pPr>
        <w:pStyle w:val="BodyText"/>
      </w:pPr>
      <w:r>
        <w:t xml:space="preserve">Throughout this paper, we treat an effect as reflecting a credible difference when its 95% credible interval excludes zero and its probability of direction (pd) [i.e., the probability that the posterior distribution is strictly positive or negative)</w:t>
      </w:r>
      <w:r>
        <w:t xml:space="preserve"> </w:t>
      </w:r>
      <w:r>
        <w:t xml:space="preserve">(</w:t>
      </w:r>
      <w:hyperlink w:anchor="ref-makowski2025modelbased">
        <w:r>
          <w:rPr>
            <w:rStyle w:val="Hyperlink"/>
          </w:rPr>
          <w:t xml:space="preserve">Makowski et al., 2025</w:t>
        </w:r>
      </w:hyperlink>
      <w:r>
        <w:t xml:space="preserve">)</w:t>
      </w:r>
      <w:r>
        <w:t xml:space="preserve"> </w:t>
      </w:r>
      <w:r>
        <w:t xml:space="preserve">exceeds ~97%. When either condition fails to hold, we describe the effect as non-credible or uncertain.</w:t>
      </w:r>
    </w:p>
    <w:p>
      <w:pPr>
        <w:pStyle w:val="BodyText"/>
      </w:pPr>
      <w:r>
        <w:t xml:space="preserve">As shown in</w:t>
      </w:r>
      <w:r>
        <w:t xml:space="preserve"> </w:t>
      </w:r>
      <w:hyperlink w:anchor="tbl-exgauss">
        <w:r>
          <w:rPr>
            <w:rStyle w:val="Hyperlink"/>
          </w:rPr>
          <w:t xml:space="preserve">Table 1</w:t>
        </w:r>
      </w:hyperlink>
      <w:r>
        <w:t xml:space="preserve">, the present data were generated so that the two conditions have the same expected reaction time but differ in the Gaussian and exponential components of the ex-Gaussian distribution.</w:t>
      </w:r>
    </w:p>
    <w:p>
      <w:pPr>
        <w:pStyle w:val="BodyText"/>
      </w:pPr>
      <w:r>
        <w:t xml:space="preserve">Under the classical ex-Gaussian parameterization, the expected response is</w:t>
      </w:r>
    </w:p>
    <w:p>
      <w:pPr>
        <w:pStyle w:val="BodyText"/>
      </w:pPr>
      <m:oMathPara>
        <m:oMathParaPr>
          <m:jc m:val="center"/>
        </m:oMathParaPr>
        <m:oMath>
          <m:r>
            <m:t>E</m:t>
          </m:r>
          <m:r>
            <m:rPr>
              <m:sty m:val="p"/>
            </m:rPr>
            <m:t>(</m:t>
          </m:r>
          <m:r>
            <m:t>R</m:t>
          </m:r>
          <m:r>
            <m:t>T</m:t>
          </m:r>
          <m:r>
            <m:rPr>
              <m:sty m:val="p"/>
            </m:rPr>
            <m:t>)</m:t>
          </m:r>
          <m:r>
            <m:rPr>
              <m:sty m:val="p"/>
            </m:rPr>
            <m:t>=</m:t>
          </m:r>
          <m:r>
            <m:t>μ</m:t>
          </m:r>
          <m:r>
            <m:rPr>
              <m:sty m:val="p"/>
            </m:rPr>
            <m:t>+</m:t>
          </m:r>
          <m:r>
            <m:t>τ</m:t>
          </m:r>
          <m:r>
            <m:rPr>
              <m:sty m:val="p"/>
            </m:rPr>
            <m:t>.</m:t>
          </m:r>
        </m:oMath>
      </m:oMathPara>
    </w:p>
    <w:p>
      <w:pPr>
        <w:pStyle w:val="FirstParagraph"/>
      </w:pPr>
      <w:r>
        <w:t xml:space="preserve">Thus, the 50-ms increase in</w:t>
      </w:r>
      <w:r>
        <w:t xml:space="preserve"> </w:t>
      </w:r>
      <m:oMath>
        <m:r>
          <m:t>μ</m:t>
        </m:r>
      </m:oMath>
      <w:r>
        <w:t xml:space="preserve"> </w:t>
      </w:r>
      <w:r>
        <w:t xml:space="preserve">for the Low-Blur condition is offset by a 50-ms decrease in</w:t>
      </w:r>
      <w:r>
        <w:t xml:space="preserve"> </w:t>
      </w:r>
      <m:oMath>
        <m:r>
          <m:t>τ</m:t>
        </m:r>
      </m:oMath>
      <w:r>
        <w:t xml:space="preserve">. The expected RT is therefore 600 ms in both conditions.</w:t>
      </w:r>
    </w:p>
    <w:bookmarkEnd w:id="52"/>
    <w:bookmarkStart w:id="53" w:name="estimating-the-expected-response-mu"/>
    <w:p>
      <w:pPr>
        <w:pStyle w:val="Heading3"/>
      </w:pPr>
      <w:r>
        <w:t xml:space="preserve">Estimating the Expected Response (</w:t>
      </w:r>
      <m:oMath>
        <m:r>
          <m:t>μ</m:t>
        </m:r>
      </m:oMath>
      <w:r>
        <w:t xml:space="preserve">)</w:t>
      </w:r>
    </w:p>
    <w:p>
      <w:pPr>
        <w:pStyle w:val="FirstParagraph"/>
      </w:pPr>
      <w:r>
        <w:t xml:space="preserve">Condition-specific estimates of the expected response can be obtained with</w:t>
      </w:r>
      <w:r>
        <w:t xml:space="preserve"> </w:t>
      </w:r>
      <w:r>
        <w:rPr>
          <w:rStyle w:val="VerbatimChar"/>
        </w:rPr>
        <w:t xml:space="preserve">estimate_means()</w:t>
      </w:r>
      <w:r>
        <w:t xml:space="preserve"> </w:t>
      </w:r>
      <w:r>
        <w:t xml:space="preserve">and setting</w:t>
      </w:r>
      <w:r>
        <w:t xml:space="preserve"> </w:t>
      </w:r>
      <w:r>
        <w:rPr>
          <w:rStyle w:val="VerbatimChar"/>
        </w:rPr>
        <w:t xml:space="preserve">predict</w:t>
      </w:r>
      <w:r>
        <w:t xml:space="preserve"> </w:t>
      </w:r>
      <w:r>
        <w:t xml:space="preserve">argument to</w:t>
      </w:r>
      <w:r>
        <w:t xml:space="preserve"> </w:t>
      </w:r>
      <w:r>
        <w:t xml:space="preserve">“mu”</w:t>
      </w:r>
      <w:r>
        <w:t xml:space="preserve">.</w:t>
      </w:r>
    </w:p>
    <w:p>
      <w:pPr>
        <w:pStyle w:val="BodyText"/>
      </w:pPr>
      <w:r>
        <w:t xml:space="preserve">Because the primary</w:t>
      </w:r>
      <w:r>
        <w:t xml:space="preserve"> </w:t>
      </w:r>
      <w:r>
        <w:rPr>
          <w:rStyle w:val="VerbatimChar"/>
        </w:rPr>
        <w:t xml:space="preserve">mu</w:t>
      </w:r>
      <w:r>
        <w:t xml:space="preserve"> </w:t>
      </w:r>
      <w:r>
        <w:t xml:space="preserve">parameter in the default ex-Gaussian model represents</w:t>
      </w:r>
      <w:r>
        <w:t xml:space="preserve"> </w:t>
      </w:r>
      <m:oMath>
        <m:r>
          <m:t>E</m:t>
        </m:r>
        <m:r>
          <m:rPr>
            <m:sty m:val="p"/>
          </m:rPr>
          <m:t>(</m:t>
        </m:r>
        <m:r>
          <m:t>R</m:t>
        </m:r>
        <m:r>
          <m:t>T</m:t>
        </m:r>
        <m:r>
          <m:rPr>
            <m:sty m:val="p"/>
          </m:rPr>
          <m:t>)</m:t>
        </m:r>
      </m:oMath>
      <w:r>
        <w:t xml:space="preserve">, these estimates should be close to 600 ms in both conditions.</w:t>
      </w:r>
    </w:p>
    <w:p>
      <w:pPr>
        <w:pStyle w:val="BodyText"/>
      </w:pPr>
      <w:r>
        <w:t xml:space="preserve">The corresponding contrast can be obtained using</w:t>
      </w:r>
      <w:r>
        <w:t xml:space="preserve"> </w:t>
      </w:r>
      <w:r>
        <w:rPr>
          <w:rStyle w:val="VerbatimChar"/>
        </w:rPr>
        <w:t xml:space="preserve">estimate_contrasts()</w:t>
      </w:r>
      <w:r>
        <w:t xml:space="preserve"> </w:t>
      </w:r>
      <w:r>
        <w:t xml:space="preserve">(see</w:t>
      </w:r>
      <w:r>
        <w:t xml:space="preserve"> </w:t>
      </w:r>
      <w:hyperlink w:anchor="tbl-default-contrast">
        <w:r>
          <w:rPr>
            <w:rStyle w:val="Hyperlink"/>
          </w:rPr>
          <w:t xml:space="preserve">Table 4</w:t>
        </w:r>
      </w:hyperlink>
      <w:r>
        <w:t xml:space="preserve">).</w:t>
      </w:r>
    </w:p>
    <w:p>
      <w:pPr>
        <w:pStyle w:val="BodyText"/>
      </w:pPr>
      <w:r>
        <w:t xml:space="preserve">The posterior estimate of this contrast should be close to zero because the two conditions were generated with the same expected RT:</w:t>
      </w:r>
    </w:p>
    <w:p>
      <w:pPr>
        <w:pStyle w:val="BodyText"/>
      </w:pPr>
      <m:oMathPara>
        <m:oMathParaPr>
          <m:jc m:val="center"/>
        </m:oMathParaPr>
        <m:oMath>
          <m:r>
            <m:rPr>
              <m:sty m:val="p"/>
            </m:rPr>
            <m:t>(</m:t>
          </m:r>
          <m:r>
            <m:t>550</m:t>
          </m:r>
          <m:r>
            <m:rPr>
              <m:sty m:val="p"/>
            </m:rPr>
            <m:t>+</m:t>
          </m:r>
          <m:r>
            <m:t>50</m:t>
          </m:r>
          <m:r>
            <m:rPr>
              <m:sty m:val="p"/>
            </m:rPr>
            <m:t>)</m:t>
          </m:r>
          <m:r>
            <m:rPr>
              <m:sty m:val="p"/>
            </m:rPr>
            <m:t>−</m:t>
          </m:r>
          <m:r>
            <m:rPr>
              <m:sty m:val="p"/>
            </m:rPr>
            <m:t>(</m:t>
          </m:r>
          <m:r>
            <m:t>500</m:t>
          </m:r>
          <m:r>
            <m:rPr>
              <m:sty m:val="p"/>
            </m:rPr>
            <m:t>+</m:t>
          </m:r>
          <m:r>
            <m:t>100</m:t>
          </m:r>
          <m:r>
            <m:rPr>
              <m:sty m:val="p"/>
            </m:rPr>
            <m:t>)</m:t>
          </m:r>
          <m:r>
            <m:rPr>
              <m:sty m:val="p"/>
            </m:rPr>
            <m:t>=</m:t>
          </m:r>
          <m:r>
            <m:t>600</m:t>
          </m:r>
          <m:r>
            <m:rPr>
              <m:sty m:val="p"/>
            </m:rPr>
            <m:t>−</m:t>
          </m:r>
          <m:r>
            <m:t>600</m:t>
          </m:r>
          <m:r>
            <m:rPr>
              <m:sty m:val="p"/>
            </m:rPr>
            <m:t>=</m:t>
          </m:r>
          <m:r>
            <m:t>0</m:t>
          </m:r>
          <m:r>
            <m:rPr>
              <m:sty m:val="p"/>
            </m:rPr>
            <m:t>.</m:t>
          </m:r>
        </m:oMath>
      </m:oMathPara>
    </w:p>
    <w:bookmarkEnd w:id="53"/>
    <w:bookmarkStart w:id="56" w:name="estimating-the-exponential-component"/>
    <w:p>
      <w:pPr>
        <w:pStyle w:val="Heading3"/>
      </w:pPr>
      <w:r>
        <w:t xml:space="preserve">Estimating the Exponential Component</w:t>
      </w:r>
    </w:p>
    <w:p>
      <w:pPr>
        <w:pStyle w:val="FirstParagraph"/>
      </w:pPr>
      <w:r>
        <w:t xml:space="preserve">In the default {</w:t>
      </w:r>
      <w:r>
        <w:rPr>
          <w:rStyle w:val="VerbatimChar"/>
        </w:rPr>
        <w:t xml:space="preserve">brms}</w:t>
      </w:r>
      <w:r>
        <w:t xml:space="preserve"> </w:t>
      </w:r>
      <w:r>
        <w:t xml:space="preserve">parameterization,</w:t>
      </w:r>
      <w:r>
        <w:t xml:space="preserve"> </w:t>
      </w:r>
      <w:r>
        <w:rPr>
          <w:rStyle w:val="VerbatimChar"/>
        </w:rPr>
        <w:t xml:space="preserve">beta</w:t>
      </w:r>
      <w:r>
        <w:t xml:space="preserve"> </w:t>
      </w:r>
      <w:r>
        <w:t xml:space="preserve">represents the mean of the exponential component. It therefore corresponds directly to</w:t>
      </w:r>
      <w:r>
        <w:t xml:space="preserve"> </w:t>
      </w:r>
      <m:oMath>
        <m:r>
          <m:t>τ</m:t>
        </m:r>
      </m:oMath>
      <w:r>
        <w:t xml:space="preserve"> </w:t>
      </w:r>
      <w:r>
        <w:t xml:space="preserve">in the classical parameterization:</w:t>
      </w:r>
    </w:p>
    <w:p>
      <w:pPr>
        <w:pStyle w:val="BodyText"/>
      </w:pPr>
      <m:oMathPara>
        <m:oMathParaPr>
          <m:jc m:val="center"/>
        </m:oMathParaPr>
        <m:oMath>
          <m:r>
            <m:t>β</m:t>
          </m:r>
          <m:r>
            <m:rPr>
              <m:sty m:val="p"/>
            </m:rPr>
            <m:t>=</m:t>
          </m:r>
          <m:r>
            <m:t>τ</m:t>
          </m:r>
          <m:r>
            <m:rPr>
              <m:sty m:val="p"/>
            </m:rPr>
            <m:t>.</m:t>
          </m:r>
        </m:oMath>
      </m:oMathPara>
    </w:p>
    <w:p>
      <w:pPr>
        <w:pStyle w:val="FirstParagraph"/>
      </w:pPr>
      <w:r>
        <w:t xml:space="preserve">Condition-specific estimates can be obtained by requesting predictions for</w:t>
      </w:r>
      <w:r>
        <w:t xml:space="preserve"> </w:t>
      </w:r>
      <w:r>
        <w:rPr>
          <w:rStyle w:val="VerbatimChar"/>
        </w:rPr>
        <w:t xml:space="preserve">beta</w:t>
      </w:r>
      <w:r>
        <w:t xml:space="preserve">.</w:t>
      </w:r>
    </w:p>
    <w:p>
      <w:pPr>
        <w:pStyle w:val="BodyText"/>
      </w:pPr>
      <w:r>
        <w:t xml:space="preserve">Although the resulting object is called</w:t>
      </w:r>
      <w:r>
        <w:t xml:space="preserve"> </w:t>
      </w:r>
      <w:r>
        <w:rPr>
          <w:rStyle w:val="VerbatimChar"/>
        </w:rPr>
        <w:t xml:space="preserve">tau_estimates_default</w:t>
      </w:r>
      <w:r>
        <w:t xml:space="preserve"> </w:t>
      </w:r>
      <w:r>
        <w:t xml:space="preserve">for interpretive clarity, the parameter is named</w:t>
      </w:r>
      <w:r>
        <w:t xml:space="preserve"> </w:t>
      </w:r>
      <w:r>
        <w:rPr>
          <w:rStyle w:val="VerbatimChar"/>
        </w:rPr>
        <w:t xml:space="preserve">beta</w:t>
      </w:r>
      <w:r>
        <w:t xml:space="preserve"> </w:t>
      </w:r>
      <w:r>
        <w:t xml:space="preserve">inside the default</w:t>
      </w:r>
      <w:r>
        <w:t xml:space="preserve"> </w:t>
      </w:r>
      <w:r>
        <w:rPr>
          <w:rStyle w:val="VerbatimChar"/>
        </w:rPr>
        <w:t xml:space="preserve">brm</w:t>
      </w:r>
      <w:r>
        <w:t xml:space="preserve"> </w:t>
      </w:r>
      <w:r>
        <w:t xml:space="preserve">model.</w:t>
      </w:r>
      <w:r>
        <w:t xml:space="preserve"> </w:t>
      </w:r>
      <w:hyperlink w:anchor="tbl-default-means">
        <w:r>
          <w:rPr>
            <w:rStyle w:val="Hyperlink"/>
          </w:rPr>
          <w:t xml:space="preserve">Table 3</w:t>
        </w:r>
      </w:hyperlink>
      <w:r>
        <w:t xml:space="preserve"> </w:t>
      </w:r>
      <w:r>
        <w:t xml:space="preserve">shows both the expected response and the exponential component together, by condition.</w:t>
      </w:r>
    </w:p>
    <w:bookmarkStart w:id="54" w:name="tbl-default-means"/>
    <w:p>
      <w:pPr>
        <w:pStyle w:val="FigureTitle"/>
      </w:pPr>
      <w:r>
        <w:t xml:space="preserve">Table 3</w:t>
      </w:r>
    </w:p>
    <w:p>
      <w:pPr>
        <w:pStyle w:val="Caption"/>
      </w:pPr>
      <w:r>
        <w:t xml:space="preserve">Estimated expected response,</w:t>
      </w:r>
      <w:r>
        <w:t xml:space="preserve"> </w:t>
      </w:r>
      <m:oMath>
        <m:r>
          <m:t>E</m:t>
        </m:r>
        <m:r>
          <m:rPr>
            <m:sty m:val="p"/>
          </m:rPr>
          <m:t>(</m:t>
        </m:r>
        <m:r>
          <m:t>R</m:t>
        </m:r>
        <m:r>
          <m:t>T</m:t>
        </m:r>
        <m:r>
          <m:rPr>
            <m:sty m:val="p"/>
          </m:rPr>
          <m:t>)</m:t>
        </m:r>
      </m:oMath>
      <w:r>
        <w:t xml:space="preserve">, and exponential component (</w:t>
      </w:r>
      <w:r>
        <w:rPr>
          <w:rStyle w:val="VerbatimChar"/>
        </w:rPr>
        <w:t xml:space="preserve">beta</w:t>
      </w:r>
      <w:r>
        <w:t xml:space="preserve">), by condition from the default brms model.</w:t>
      </w:r>
    </w:p>
    <w:tbl>
      <w:tblPr>
        <w:tblStyle w:val="Table"/>
        <w:tblW w:type="pct" w:w="3194"/>
        <w:tblLayout w:type="fixed"/>
        <w:tblLook w:firstRow="1" w:lastRow="0" w:firstColumn="0" w:lastColumn="0" w:noHBand="0" w:noVBand="0" w:val="0020"/>
      </w:tblPr>
      <w:tblGrid>
        <w:gridCol w:w="1210"/>
        <w:gridCol w:w="1320"/>
        <w:gridCol w:w="2530"/>
      </w:tblGrid>
      <w:tr>
        <w:trPr>
          <w:tblHeader w:val="on"/>
        </w:trPr>
        <w:tc>
          <w:tcPr/>
          <w:p>
            <w:pPr>
              <w:pStyle w:val="Compact"/>
            </w:pPr>
            <w:r>
              <w:t xml:space="preserve">Blur</w:t>
            </w:r>
          </w:p>
        </w:tc>
        <w:tc>
          <w:tcPr/>
          <w:p>
            <w:pPr>
              <w:pStyle w:val="Compact"/>
            </w:pPr>
            <w:r>
              <w:t xml:space="preserve">Parameter</w:t>
            </w:r>
          </w:p>
        </w:tc>
        <w:tc>
          <w:tcPr/>
          <w:p>
            <w:pPr>
              <w:pStyle w:val="Compact"/>
            </w:pPr>
            <w:r>
              <w:t xml:space="preserve">Mean [95% CrI]</w:t>
            </w:r>
          </w:p>
        </w:tc>
      </w:tr>
      <w:tr>
        <w:tc>
          <w:tcPr/>
          <w:p>
            <w:pPr>
              <w:pStyle w:val="Compact"/>
            </w:pPr>
            <w:r>
              <w:t xml:space="preserve">Clear</w:t>
            </w:r>
          </w:p>
        </w:tc>
        <w:tc>
          <w:tcPr/>
          <w:p>
            <w:pPr>
              <w:pStyle w:val="Compact"/>
            </w:pPr>
            <w:r>
              <w:t xml:space="preserve">E(RT)</w:t>
            </w:r>
          </w:p>
        </w:tc>
        <w:tc>
          <w:tcPr/>
          <w:p>
            <w:pPr>
              <w:pStyle w:val="Compact"/>
            </w:pPr>
            <w:r>
              <w:t xml:space="preserve">581.4 [559.8, 606.3]</w:t>
            </w:r>
          </w:p>
        </w:tc>
      </w:tr>
      <w:tr>
        <w:tc>
          <w:tcPr/>
          <w:p>
            <w:pPr>
              <w:pStyle w:val="Compact"/>
            </w:pPr>
          </w:p>
        </w:tc>
        <w:tc>
          <w:tcPr/>
          <w:p>
            <w:pPr>
              <w:pStyle w:val="Compact"/>
            </w:pPr>
            <w:r>
              <w:t xml:space="preserve">β</w:t>
            </w:r>
          </w:p>
        </w:tc>
        <w:tc>
          <w:tcPr/>
          <w:p>
            <w:pPr>
              <w:pStyle w:val="Compact"/>
            </w:pPr>
            <w:r>
              <w:t xml:space="preserve">108.1 [79.9, 140.2]</w:t>
            </w:r>
          </w:p>
        </w:tc>
      </w:tr>
      <w:tr>
        <w:tc>
          <w:tcPr/>
          <w:p>
            <w:pPr>
              <w:pStyle w:val="Compact"/>
            </w:pPr>
            <w:r>
              <w:t xml:space="preserve">Low-Blur</w:t>
            </w:r>
          </w:p>
        </w:tc>
        <w:tc>
          <w:tcPr/>
          <w:p>
            <w:pPr>
              <w:pStyle w:val="Compact"/>
            </w:pPr>
            <w:r>
              <w:t xml:space="preserve">E(RT)</w:t>
            </w:r>
          </w:p>
        </w:tc>
        <w:tc>
          <w:tcPr/>
          <w:p>
            <w:pPr>
              <w:pStyle w:val="Compact"/>
            </w:pPr>
            <w:r>
              <w:t xml:space="preserve">603.4 [588.5, 619.7]</w:t>
            </w:r>
          </w:p>
        </w:tc>
      </w:tr>
      <w:tr>
        <w:tc>
          <w:tcPr/>
          <w:p>
            <w:pPr>
              <w:pStyle w:val="Compact"/>
            </w:pPr>
          </w:p>
        </w:tc>
        <w:tc>
          <w:tcPr/>
          <w:p>
            <w:pPr>
              <w:pStyle w:val="Compact"/>
            </w:pPr>
            <w:r>
              <w:t xml:space="preserve">β</w:t>
            </w:r>
          </w:p>
        </w:tc>
        <w:tc>
          <w:tcPr/>
          <w:p>
            <w:pPr>
              <w:pStyle w:val="Compact"/>
            </w:pPr>
            <w:r>
              <w:t xml:space="preserve">56.4 [35.3, 80.0]</w:t>
            </w:r>
          </w:p>
        </w:tc>
      </w:tr>
    </w:tbl>
    <w:bookmarkEnd w:id="54"/>
    <w:p>
      <w:pPr>
        <w:pStyle w:val="AfterWithoutNote"/>
      </w:pPr>
      <w:r>
        <w:t xml:space="preserve">These estimates should be close to 600 ms for</w:t>
      </w:r>
      <w:r>
        <w:t xml:space="preserve"> </w:t>
      </w:r>
      <m:oMath>
        <m:r>
          <m:t>E</m:t>
        </m:r>
        <m:r>
          <m:rPr>
            <m:sty m:val="p"/>
          </m:rPr>
          <m:t>(</m:t>
        </m:r>
        <m:r>
          <m:t>R</m:t>
        </m:r>
        <m:r>
          <m:t>T</m:t>
        </m:r>
        <m:r>
          <m:rPr>
            <m:sty m:val="p"/>
          </m:rPr>
          <m:t>)</m:t>
        </m:r>
      </m:oMath>
      <w:r>
        <w:t xml:space="preserve"> </w:t>
      </w:r>
      <w:r>
        <w:t xml:space="preserve">in both conditions, and approximately 100 ms for Clear and 50 ms for Low-Blur for</w:t>
      </w:r>
      <w:r>
        <w:t xml:space="preserve"> </w:t>
      </w:r>
      <w:r>
        <w:rPr>
          <w:rStyle w:val="VerbatimChar"/>
        </w:rPr>
        <w:t xml:space="preserve">beta</w:t>
      </w:r>
      <w:r>
        <w:t xml:space="preserve">.</w:t>
      </w:r>
    </w:p>
    <w:p>
      <w:pPr>
        <w:pStyle w:val="BodyText"/>
      </w:pPr>
      <w:r>
        <w:t xml:space="preserve">The corresponding contrasts can be obtained using</w:t>
      </w:r>
      <w:r>
        <w:t xml:space="preserve"> </w:t>
      </w:r>
      <w:r>
        <w:rPr>
          <w:rStyle w:val="VerbatimChar"/>
        </w:rPr>
        <w:t xml:space="preserve">estimate_contrasts()</w:t>
      </w:r>
      <w:r>
        <w:t xml:space="preserve"> </w:t>
      </w:r>
      <w:r>
        <w:t xml:space="preserve">(see</w:t>
      </w:r>
      <w:r>
        <w:t xml:space="preserve"> </w:t>
      </w:r>
      <w:hyperlink w:anchor="tbl-default-contrast">
        <w:r>
          <w:rPr>
            <w:rStyle w:val="Hyperlink"/>
          </w:rPr>
          <w:t xml:space="preserve">Table 4</w:t>
        </w:r>
      </w:hyperlink>
      <w:r>
        <w:t xml:space="preserve">).</w:t>
      </w:r>
    </w:p>
    <w:bookmarkStart w:id="55" w:name="tbl-default-contrast"/>
    <w:p>
      <w:pPr>
        <w:pStyle w:val="FigureTitle"/>
      </w:pPr>
      <w:r>
        <w:t xml:space="preserve">Table 4</w:t>
      </w:r>
    </w:p>
    <w:p>
      <w:pPr>
        <w:pStyle w:val="Caption"/>
      </w:pPr>
      <w:r>
        <w:t xml:space="preserve">Blur contrast in the expected response,</w:t>
      </w:r>
      <w:r>
        <w:t xml:space="preserve"> </w:t>
      </w:r>
      <m:oMath>
        <m:r>
          <m:t>E</m:t>
        </m:r>
        <m:r>
          <m:rPr>
            <m:sty m:val="p"/>
          </m:rPr>
          <m:t>(</m:t>
        </m:r>
        <m:r>
          <m:t>R</m:t>
        </m:r>
        <m:r>
          <m:t>T</m:t>
        </m:r>
        <m:r>
          <m:rPr>
            <m:sty m:val="p"/>
          </m:rPr>
          <m:t>)</m:t>
        </m:r>
      </m:oMath>
      <w:r>
        <w:t xml:space="preserve">, and the exponential component (</w:t>
      </w:r>
      <w:r>
        <w:rPr>
          <w:rStyle w:val="VerbatimChar"/>
        </w:rPr>
        <w:t xml:space="preserve">beta</w:t>
      </w:r>
      <w:r>
        <w:t xml:space="preserve">), from the default brms model.</w:t>
      </w:r>
    </w:p>
    <w:tbl>
      <w:tblPr>
        <w:tblStyle w:val="Table"/>
        <w:tblW w:type="pct" w:w="4306"/>
        <w:tblLayout w:type="fixed"/>
        <w:tblLook w:firstRow="1" w:lastRow="0" w:firstColumn="0" w:lastColumn="0" w:noHBand="0" w:noVBand="0" w:val="0020"/>
      </w:tblPr>
      <w:tblGrid>
        <w:gridCol w:w="2090"/>
        <w:gridCol w:w="1320"/>
        <w:gridCol w:w="2530"/>
        <w:gridCol w:w="880"/>
      </w:tblGrid>
      <w:tr>
        <w:trPr>
          <w:tblHeader w:val="on"/>
        </w:trPr>
        <w:tc>
          <w:tcPr/>
          <w:p>
            <w:pPr>
              <w:pStyle w:val="Compact"/>
            </w:pPr>
            <w:r>
              <w:t xml:space="preserve">Contrast</w:t>
            </w:r>
          </w:p>
        </w:tc>
        <w:tc>
          <w:tcPr/>
          <w:p>
            <w:pPr>
              <w:pStyle w:val="Compact"/>
            </w:pPr>
            <w:r>
              <w:t xml:space="preserve">Parameter</w:t>
            </w:r>
          </w:p>
        </w:tc>
        <w:tc>
          <w:tcPr/>
          <w:p>
            <w:pPr>
              <w:pStyle w:val="Compact"/>
            </w:pPr>
            <w:r>
              <w:t xml:space="preserve">Mean [95% CrI]</w:t>
            </w:r>
          </w:p>
        </w:tc>
        <w:tc>
          <w:tcPr/>
          <w:p>
            <w:pPr>
              <w:pStyle w:val="Compact"/>
            </w:pPr>
            <w:r>
              <w:t xml:space="preserve">pd</w:t>
            </w:r>
          </w:p>
        </w:tc>
      </w:tr>
      <w:tr>
        <w:tc>
          <w:tcPr/>
          <w:p>
            <w:pPr>
              <w:pStyle w:val="Compact"/>
            </w:pPr>
            <w:r>
              <w:t xml:space="preserve">Low-Blur - Clear</w:t>
            </w:r>
          </w:p>
        </w:tc>
        <w:tc>
          <w:tcPr/>
          <w:p>
            <w:pPr>
              <w:pStyle w:val="Compact"/>
            </w:pPr>
            <w:r>
              <w:t xml:space="preserve">E(RT)</w:t>
            </w:r>
          </w:p>
        </w:tc>
        <w:tc>
          <w:tcPr/>
          <w:p>
            <w:pPr>
              <w:pStyle w:val="Compact"/>
            </w:pPr>
            <w:r>
              <w:t xml:space="preserve">22.0 [-5.4, 48.8]</w:t>
            </w:r>
          </w:p>
        </w:tc>
        <w:tc>
          <w:tcPr/>
          <w:p>
            <w:pPr>
              <w:pStyle w:val="Compact"/>
            </w:pPr>
            <w:r>
              <w:t xml:space="preserve">0.943</w:t>
            </w:r>
          </w:p>
        </w:tc>
      </w:tr>
      <w:tr>
        <w:tc>
          <w:tcPr/>
          <w:p>
            <w:pPr>
              <w:pStyle w:val="Compact"/>
            </w:pPr>
            <w:r>
              <w:t xml:space="preserve">Low-Blur - Clear</w:t>
            </w:r>
          </w:p>
        </w:tc>
        <w:tc>
          <w:tcPr/>
          <w:p>
            <w:pPr>
              <w:pStyle w:val="Compact"/>
            </w:pPr>
            <w:r>
              <w:t xml:space="preserve">β</w:t>
            </w:r>
          </w:p>
        </w:tc>
        <w:tc>
          <w:tcPr/>
          <w:p>
            <w:pPr>
              <w:pStyle w:val="Compact"/>
            </w:pPr>
            <w:r>
              <w:t xml:space="preserve">-51.7 [-87.1, -19.6]</w:t>
            </w:r>
          </w:p>
        </w:tc>
        <w:tc>
          <w:tcPr/>
          <w:p>
            <w:pPr>
              <w:pStyle w:val="Compact"/>
            </w:pPr>
            <w:r>
              <w:t xml:space="preserve">1.000</w:t>
            </w:r>
          </w:p>
        </w:tc>
      </w:tr>
    </w:tbl>
    <w:bookmarkEnd w:id="55"/>
    <w:p>
      <w:pPr>
        <w:pStyle w:val="AfterWithoutNote"/>
      </w:pPr>
      <w:r>
        <w:t xml:space="preserve">As shown in</w:t>
      </w:r>
      <w:r>
        <w:t xml:space="preserve"> </w:t>
      </w:r>
      <w:hyperlink w:anchor="tbl-default-contrast">
        <w:r>
          <w:rPr>
            <w:rStyle w:val="Hyperlink"/>
          </w:rPr>
          <w:t xml:space="preserve">Table 4</w:t>
        </w:r>
      </w:hyperlink>
      <w:r>
        <w:t xml:space="preserve">, the default model correctly recovers a near-zero contrast in</w:t>
      </w:r>
      <w:r>
        <w:t xml:space="preserve"> </w:t>
      </w:r>
      <m:oMath>
        <m:r>
          <m:t>E</m:t>
        </m:r>
        <m:r>
          <m:rPr>
            <m:sty m:val="p"/>
          </m:rPr>
          <m:t>(</m:t>
        </m:r>
        <m:r>
          <m:t>R</m:t>
        </m:r>
        <m:r>
          <m:t>T</m:t>
        </m:r>
        <m:r>
          <m:rPr>
            <m:sty m:val="p"/>
          </m:rPr>
          <m:t>)</m:t>
        </m:r>
      </m:oMath>
      <w:r>
        <w:t xml:space="preserve">, since the two conditions were generated with the same expected RT. However, its primary</w:t>
      </w:r>
      <w:r>
        <w:t xml:space="preserve"> </w:t>
      </w:r>
      <w:r>
        <w:rPr>
          <w:rStyle w:val="VerbatimChar"/>
        </w:rPr>
        <w:t xml:space="preserve">mu</w:t>
      </w:r>
      <w:r>
        <w:t xml:space="preserve"> </w:t>
      </w:r>
      <w:r>
        <w:t xml:space="preserve">coefficient does not directly reveal the 50-ms difference in the Gaussian-location parameter — that difference only shows up in the</w:t>
      </w:r>
      <w:r>
        <w:t xml:space="preserve"> </w:t>
      </w:r>
      <w:r>
        <w:rPr>
          <w:rStyle w:val="VerbatimChar"/>
        </w:rPr>
        <w:t xml:space="preserve">beta</w:t>
      </w:r>
      <w:r>
        <w:t xml:space="preserve"> </w:t>
      </w:r>
      <w:r>
        <w:t xml:space="preserve">contrast, which is approximately 50 ms.</w:t>
      </w:r>
    </w:p>
    <w:bookmarkEnd w:id="56"/>
    <w:bookmarkEnd w:id="57"/>
    <w:bookmarkStart w:id="70" w:name="classical-ex-gaussian-parameterization"/>
    <w:p>
      <w:pPr>
        <w:pStyle w:val="Heading2"/>
      </w:pPr>
      <w:r>
        <w:t xml:space="preserve">Classical Ex-Gaussian Parameterization</w:t>
      </w:r>
    </w:p>
    <w:p>
      <w:pPr>
        <w:pStyle w:val="FirstParagraph"/>
      </w:pPr>
      <w:r>
        <w:t xml:space="preserve">As we have shown above, the default parameterization yields the expected RT of the entire distribution. We can instead fit the model using the</w:t>
      </w:r>
      <w:r>
        <w:t xml:space="preserve"> </w:t>
      </w:r>
      <w:r>
        <w:rPr>
          <w:rStyle w:val="VerbatimChar"/>
        </w:rPr>
        <w:t xml:space="preserve">rt_exgaussian()</w:t>
      </w:r>
      <w:r>
        <w:t xml:space="preserve"> </w:t>
      </w:r>
      <w:r>
        <w:t xml:space="preserve">family from the {cogmod} package, which implements the classical ex-Gaussian parameterization. In this model,</w:t>
      </w:r>
      <w:r>
        <w:t xml:space="preserve"> </w:t>
      </w:r>
      <m:oMath>
        <m:r>
          <m:t>μ</m:t>
        </m:r>
      </m:oMath>
      <w:r>
        <w:t xml:space="preserve"> </w:t>
      </w:r>
      <w:r>
        <w:t xml:space="preserve">represents the location of the Gaussian component and</w:t>
      </w:r>
      <w:r>
        <w:t xml:space="preserve"> </w:t>
      </w:r>
      <m:oMath>
        <m:r>
          <m:t>τ</m:t>
        </m:r>
      </m:oMath>
      <w:r>
        <w:t xml:space="preserve"> </w:t>
      </w:r>
      <w:r>
        <w:t xml:space="preserve">represents the mean of the exponential component.</w:t>
      </w:r>
    </w:p>
    <w:p>
      <w:pPr>
        <w:pStyle w:val="BodyText"/>
      </w:pPr>
      <w:r>
        <w:t xml:space="preserve">By default, {cogmod} links all three parameters with a softplus function, rather than the identity or log links {brms} typically applies. An identity link would let the linear predictor cross zero, which is invalid for all three parameters, since</w:t>
      </w:r>
      <w:r>
        <w:t xml:space="preserve"> </w:t>
      </w:r>
      <m:oMath>
        <m:r>
          <m:t>μ</m:t>
        </m:r>
      </m:oMath>
      <w:r>
        <w:t xml:space="preserve"> </w:t>
      </w:r>
      <w:r>
        <w:t xml:space="preserve">must stay positive to represent a genuine RT-scale location, and</w:t>
      </w:r>
      <w:r>
        <w:t xml:space="preserve"> </w:t>
      </w:r>
      <m:oMath>
        <m:r>
          <m:t>σ</m:t>
        </m:r>
      </m:oMath>
      <w:r>
        <w:t xml:space="preserve"> </w:t>
      </w:r>
      <w:r>
        <w:t xml:space="preserve">and</w:t>
      </w:r>
      <w:r>
        <w:t xml:space="preserve"> </w:t>
      </w:r>
      <m:oMath>
        <m:r>
          <m:t>τ</m:t>
        </m:r>
      </m:oMath>
      <w:r>
        <w:t xml:space="preserve"> </w:t>
      </w:r>
      <w:r>
        <w:t xml:space="preserve">are positive by definition. Softplus keeps the positivity constraint but behaves almost linearly away from zero, which is convenient in principle — but only in the positive direction, and only once the linear predictor is comfortably greater than zero:</w:t>
      </w:r>
      <w:r>
        <w:t xml:space="preserve"> </w:t>
      </w:r>
      <m:oMath>
        <m:r>
          <m:rPr>
            <m:nor/>
            <m:sty m:val="p"/>
          </m:rPr>
          <m:t>softplus</m:t>
        </m:r>
        <m:r>
          <m:rPr>
            <m:sty m:val="p"/>
          </m:rPr>
          <m:t>(</m:t>
        </m:r>
        <m:r>
          <m:t>x</m:t>
        </m:r>
        <m:r>
          <m:rPr>
            <m:sty m:val="p"/>
          </m:rPr>
          <m:t>)</m:t>
        </m:r>
        <m:r>
          <m:rPr>
            <m:sty m:val="p"/>
          </m:rPr>
          <m:t>=</m:t>
        </m:r>
        <m:r>
          <m:rPr>
            <m:sty m:val="p"/>
          </m:rPr>
          <m:t>log</m:t>
        </m:r>
        <m:r>
          <m:rPr>
            <m:sty m:val="p"/>
          </m:rPr>
          <m:t>(</m:t>
        </m:r>
        <m:r>
          <m:t>1</m:t>
        </m:r>
        <m:r>
          <m:rPr>
            <m:sty m:val="p"/>
          </m:rPr>
          <m:t>+</m:t>
        </m:r>
        <m:sSup>
          <m:e>
            <m:r>
              <m:t>e</m:t>
            </m:r>
          </m:e>
          <m:sup>
            <m:r>
              <m:t>x</m:t>
            </m:r>
          </m:sup>
        </m:sSup>
        <m:r>
          <m:rPr>
            <m:sty m:val="p"/>
          </m:rPr>
          <m:t>)</m:t>
        </m:r>
        <m:r>
          <m:rPr>
            <m:sty m:val="p"/>
          </m:rPr>
          <m:t>→</m:t>
        </m:r>
        <m:r>
          <m:t>x</m:t>
        </m:r>
      </m:oMath>
      <w:r>
        <w:t xml:space="preserve"> </w:t>
      </w:r>
      <w:r>
        <w:t xml:space="preserve">as</w:t>
      </w:r>
      <w:r>
        <w:t xml:space="preserve"> </w:t>
      </w:r>
      <m:oMath>
        <m:r>
          <m:t>x</m:t>
        </m:r>
        <m:r>
          <m:rPr>
            <m:sty m:val="p"/>
          </m:rPr>
          <m:t>→</m:t>
        </m:r>
        <m:r>
          <m:rPr>
            <m:sty m:val="p"/>
          </m:rPr>
          <m:t>∞</m:t>
        </m:r>
      </m:oMath>
      <w:r>
        <w:t xml:space="preserve">, but</w:t>
      </w:r>
      <w:r>
        <w:t xml:space="preserve"> </w:t>
      </w:r>
      <m:oMath>
        <m:r>
          <m:rPr>
            <m:nor/>
            <m:sty m:val="p"/>
          </m:rPr>
          <m:t>softplus</m:t>
        </m:r>
        <m:r>
          <m:rPr>
            <m:sty m:val="p"/>
          </m:rPr>
          <m:t>(</m:t>
        </m:r>
        <m:r>
          <m:t>x</m:t>
        </m:r>
        <m:r>
          <m:rPr>
            <m:sty m:val="p"/>
          </m:rPr>
          <m:t>)</m:t>
        </m:r>
        <m:r>
          <m:rPr>
            <m:sty m:val="p"/>
          </m:rPr>
          <m:t>→</m:t>
        </m:r>
        <m:r>
          <m:t>0</m:t>
        </m:r>
      </m:oMath>
      <w:r>
        <w:t xml:space="preserve"> </w:t>
      </w:r>
      <w:r>
        <w:t xml:space="preserve">as</w:t>
      </w:r>
      <w:r>
        <w:t xml:space="preserve"> </w:t>
      </w:r>
      <m:oMath>
        <m:r>
          <m:t>x</m:t>
        </m:r>
        <m:r>
          <m:rPr>
            <m:sty m:val="p"/>
          </m:rPr>
          <m:t>→</m:t>
        </m:r>
        <m:r>
          <m:rPr>
            <m:sty m:val="p"/>
          </m:rPr>
          <m:t>−</m:t>
        </m:r>
        <m:r>
          <m:rPr>
            <m:sty m:val="p"/>
          </m:rPr>
          <m:t>∞</m:t>
        </m:r>
      </m:oMath>
      <w:r>
        <w:t xml:space="preserve">, so the link is sharply nonlinear for negative or near-zero linear predictors (e.g.,</w:t>
      </w:r>
      <w:r>
        <w:t xml:space="preserve"> </w:t>
      </w:r>
      <m:oMath>
        <m:r>
          <m:rPr>
            <m:nor/>
            <m:sty m:val="p"/>
          </m:rPr>
          <m:t>softplus</m:t>
        </m:r>
        <m:r>
          <m:rPr>
            <m:sty m:val="p"/>
          </m:rPr>
          <m:t>(</m:t>
        </m:r>
        <m:r>
          <m:rPr>
            <m:sty m:val="p"/>
          </m:rPr>
          <m:t>−</m:t>
        </m:r>
        <m:r>
          <m:t>2</m:t>
        </m:r>
        <m:r>
          <m:rPr>
            <m:sty m:val="p"/>
          </m:rPr>
          <m:t>)</m:t>
        </m:r>
        <m:r>
          <m:rPr>
            <m:sty m:val="p"/>
          </m:rPr>
          <m:t>≈</m:t>
        </m:r>
        <m:r>
          <m:t>0.13</m:t>
        </m:r>
      </m:oMath>
      <w:r>
        <w:t xml:space="preserve">, nothing like</w:t>
      </w:r>
      <w:r>
        <w:t xml:space="preserve"> </w:t>
      </w:r>
      <m:oMath>
        <m:r>
          <m:rPr>
            <m:sty m:val="p"/>
          </m:rPr>
          <m:t>−</m:t>
        </m:r>
        <m:r>
          <m:t>2</m:t>
        </m:r>
      </m:oMath>
      <w:r>
        <w:t xml:space="preserve">). Whether a response-scale prior actually lands in that near-linear region depends on the measurement scale of the outcome, not just the link function itself — the same nominal prior can behave very differently depending on whether an RT is coded in milliseconds or seconds.</w:t>
      </w:r>
    </w:p>
    <w:p>
      <w:pPr>
        <w:pStyle w:val="BodyText"/>
      </w:pPr>
      <w:r>
        <w:t xml:space="preserve">Because of this scale-sensitivity, and because we would rather interpret every coefficient directly in</w:t>
      </w:r>
      <w:r>
        <w:t xml:space="preserve"> </w:t>
      </w:r>
      <w:r>
        <w:rPr>
          <w:rStyle w:val="VerbatimChar"/>
        </w:rPr>
        <w:t xml:space="preserve">estimate_means()</w:t>
      </w:r>
      <w:r>
        <w:t xml:space="preserve">/</w:t>
      </w:r>
      <w:r>
        <w:rPr>
          <w:rStyle w:val="VerbatimChar"/>
        </w:rPr>
        <w:t xml:space="preserve">estimate_contrasts()</w:t>
      </w:r>
      <w:r>
        <w:t xml:space="preserve"> </w:t>
      </w:r>
      <w:r>
        <w:t xml:space="preserve">output than reason about a link function at all, we do not use {cogmod}’s default softplus link in this paper.</w:t>
      </w:r>
      <w:r>
        <w:t xml:space="preserve"> </w:t>
      </w:r>
      <w:r>
        <w:rPr>
          <w:rStyle w:val="VerbatimChar"/>
        </w:rPr>
        <w:t xml:space="preserve">rt_exgaussian()</w:t>
      </w:r>
      <w:r>
        <w:t xml:space="preserve"> </w:t>
      </w:r>
      <w:r>
        <w:t xml:space="preserve">accepts</w:t>
      </w:r>
      <w:r>
        <w:t xml:space="preserve"> </w:t>
      </w:r>
      <w:r>
        <w:rPr>
          <w:rStyle w:val="VerbatimChar"/>
        </w:rPr>
        <w:t xml:space="preserve">link_mu</w:t>
      </w:r>
      <w:r>
        <w:t xml:space="preserve">,</w:t>
      </w:r>
      <w:r>
        <w:t xml:space="preserve"> </w:t>
      </w:r>
      <w:r>
        <w:rPr>
          <w:rStyle w:val="VerbatimChar"/>
        </w:rPr>
        <w:t xml:space="preserve">link_sigma</w:t>
      </w:r>
      <w:r>
        <w:t xml:space="preserve">, and</w:t>
      </w:r>
      <w:r>
        <w:t xml:space="preserve"> </w:t>
      </w:r>
      <w:r>
        <w:rPr>
          <w:rStyle w:val="VerbatimChar"/>
        </w:rPr>
        <w:t xml:space="preserve">link_tau</w:t>
      </w:r>
      <w:r>
        <w:t xml:space="preserve"> </w:t>
      </w:r>
      <w:r>
        <w:t xml:space="preserve">arguments so each parameter’s link can be set independently; we use an identity link for</w:t>
      </w:r>
      <w:r>
        <w:t xml:space="preserve"> </w:t>
      </w:r>
      <m:oMath>
        <m:r>
          <m:t>μ</m:t>
        </m:r>
      </m:oMath>
      <w:r>
        <w:t xml:space="preserve"> </w:t>
      </w:r>
      <w:r>
        <w:t xml:space="preserve">and a log link for</w:t>
      </w:r>
      <w:r>
        <w:t xml:space="preserve"> </w:t>
      </w:r>
      <m:oMath>
        <m:r>
          <m:t>σ</m:t>
        </m:r>
      </m:oMath>
      <w:r>
        <w:t xml:space="preserve"> </w:t>
      </w:r>
      <w:r>
        <w:t xml:space="preserve">and</w:t>
      </w:r>
      <w:r>
        <w:t xml:space="preserve"> </w:t>
      </w:r>
      <m:oMath>
        <m:r>
          <m:t>τ</m:t>
        </m:r>
      </m:oMath>
      <w:r>
        <w:t xml:space="preserve"> </w:t>
      </w:r>
      <w:r>
        <w:t xml:space="preserve">— the same links {brms}’s own built-in</w:t>
      </w:r>
      <w:r>
        <w:t xml:space="preserve"> </w:t>
      </w:r>
      <w:r>
        <w:rPr>
          <w:rStyle w:val="VerbatimChar"/>
        </w:rPr>
        <w:t xml:space="preserve">exgaussian()</w:t>
      </w:r>
      <w:r>
        <w:t xml:space="preserve"> </w:t>
      </w:r>
      <w:r>
        <w:t xml:space="preserve">family uses for its location and scale parameters, and a familiar, scale-robust choice for enforcing positivity (unlike softplus, log’s behavior does not depend on whether the parameter values happen to be small or large in absolute terms). The model is specified with</w:t>
      </w:r>
      <w:r>
        <w:t xml:space="preserve"> </w:t>
      </w:r>
      <w:r>
        <w:rPr>
          <w:rStyle w:val="VerbatimChar"/>
        </w:rPr>
        <w:t xml:space="preserve">family = rt_exgaussian(link = "identity", link_sigma = "log", link_tau = "log")</w:t>
      </w:r>
      <w:r>
        <w:t xml:space="preserve">.</w:t>
      </w:r>
    </w:p>
    <w:p>
      <w:pPr>
        <w:pStyle w:val="BodyText"/>
      </w:pPr>
      <w:r>
        <w:t xml:space="preserve">At the sampling level, the log-likelihood is written in Stan and calls the built-in</w:t>
      </w:r>
      <w:r>
        <w:t xml:space="preserve"> </w:t>
      </w:r>
      <w:r>
        <w:rPr>
          <w:rStyle w:val="VerbatimChar"/>
        </w:rPr>
        <w:t xml:space="preserve">exp_mod_normal_lpdf()</w:t>
      </w:r>
      <w:r>
        <w:t xml:space="preserve"> </w:t>
      </w:r>
      <w:r>
        <w:t xml:space="preserve">function</w:t>
      </w:r>
      <w:r>
        <w:rPr>
          <w:rStyle w:val="FootnoteReference"/>
        </w:rPr>
        <w:footnoteReference w:id="58"/>
      </w:r>
      <w:r>
        <w:t xml:space="preserve">, which implements the exponentially modified Gaussian density. That built-in function is parameterized by the rate of the exponential component rather than its mean, so</w:t>
      </w:r>
      <w:r>
        <w:t xml:space="preserve"> </w:t>
      </w:r>
      <m:oMath>
        <m:r>
          <m:t>τ</m:t>
        </m:r>
      </m:oMath>
      <w:r>
        <w:t xml:space="preserve"> </w:t>
      </w:r>
      <w:r>
        <w:t xml:space="preserve">is converted internally via</w:t>
      </w:r>
      <w:r>
        <w:t xml:space="preserve"> </w:t>
      </w:r>
      <m:oMath>
        <m:r>
          <m:t>1</m:t>
        </m:r>
        <m:r>
          <m:rPr>
            <m:sty m:val="p"/>
          </m:rPr>
          <m:t>/</m:t>
        </m:r>
        <m:r>
          <m:t>τ</m:t>
        </m:r>
      </m:oMath>
      <w:r>
        <w:t xml:space="preserve"> </w:t>
      </w:r>
      <w:r>
        <w:t xml:space="preserve">before being passed in. The custom family simply relabels and re-links Stan’s existing exponentially modified Gaussian implementation.</w:t>
      </w:r>
    </w:p>
    <w:bookmarkStart w:id="61" w:name="prior-specification-1"/>
    <w:p>
      <w:pPr>
        <w:pStyle w:val="Heading3"/>
      </w:pPr>
      <w:r>
        <w:t xml:space="preserve">Prior Specification</w:t>
      </w:r>
    </w:p>
    <w:p>
      <w:pPr>
        <w:pStyle w:val="FirstParagraph"/>
      </w:pPr>
      <w:r>
        <w:t xml:space="preserve">The priors for the classical model follow the same reasoning as those for the default model, shown together in</w:t>
      </w:r>
      <w:r>
        <w:t xml:space="preserve"> </w:t>
      </w:r>
      <w:hyperlink w:anchor="tbl-priors">
        <w:r>
          <w:rPr>
            <w:rStyle w:val="Hyperlink"/>
          </w:rPr>
          <w:t xml:space="preserve">Table 2</w:t>
        </w:r>
      </w:hyperlink>
      <w:r>
        <w:t xml:space="preserve">:</w:t>
      </w:r>
    </w:p>
    <w:p>
      <w:pPr>
        <w:pStyle w:val="BodyText"/>
      </w:pPr>
      <w:r>
        <w:t xml:space="preserve">As before,</w:t>
      </w:r>
      <w:r>
        <w:t xml:space="preserve"> </w:t>
      </w:r>
      <w:r>
        <w:rPr>
          <w:rStyle w:val="VerbatimChar"/>
        </w:rPr>
        <w:t xml:space="preserve">bf()</w:t>
      </w:r>
      <w:r>
        <w:t xml:space="preserve"> </w:t>
      </w:r>
      <w:r>
        <w:t xml:space="preserve">combines the per-parameter formulas into a single distributional model, but now</w:t>
      </w:r>
      <w:r>
        <w:t xml:space="preserve"> </w:t>
      </w:r>
      <w:r>
        <w:rPr>
          <w:rStyle w:val="VerbatimChar"/>
        </w:rPr>
        <w:t xml:space="preserve">mu</w:t>
      </w:r>
      <w:r>
        <w:t xml:space="preserve"> </w:t>
      </w:r>
      <w:r>
        <w:t xml:space="preserve">is the Gaussian location itself,</w:t>
      </w:r>
      <w:r>
        <w:t xml:space="preserve"> </w:t>
      </w:r>
      <w:r>
        <w:rPr>
          <w:rStyle w:val="VerbatimChar"/>
        </w:rPr>
        <w:t xml:space="preserve">tau</w:t>
      </w:r>
      <w:r>
        <w:t xml:space="preserve"> </w:t>
      </w:r>
      <w:r>
        <w:t xml:space="preserve">(rather than</w:t>
      </w:r>
      <w:r>
        <w:t xml:space="preserve"> </w:t>
      </w:r>
      <w:r>
        <w:rPr>
          <w:rStyle w:val="VerbatimChar"/>
        </w:rPr>
        <w:t xml:space="preserve">beta</w:t>
      </w:r>
      <w:r>
        <w:t xml:space="preserve">) carries the exponential-mean submodel, and</w:t>
      </w:r>
      <w:r>
        <w:t xml:space="preserve"> </w:t>
      </w:r>
      <w:r>
        <w:rPr>
          <w:rStyle w:val="VerbatimChar"/>
        </w:rPr>
        <w:t xml:space="preserve">sigma</w:t>
      </w:r>
      <w:r>
        <w:t xml:space="preserve"> </w:t>
      </w:r>
      <w:r>
        <w:t xml:space="preserve">is estimated explicitly via its own formula rather than left to a family default. The model is then fit using (</w:t>
      </w:r>
      <w:hyperlink w:anchor="lst-fit-classical">
        <w:r>
          <w:rPr>
            <w:rStyle w:val="Hyperlink"/>
          </w:rPr>
          <w:t xml:space="preserve">Listing 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60" w:name="lst-fit-classical"/>
          <w:p>
            <w:pPr>
              <w:jc w:val="left"/>
            </w:pPr>
            <w:pPr>
              <w:jc w:val="left"/>
              <w:spacing w:before="200"/>
              <w:pStyle w:val="ImageCaption"/>
            </w:pPr>
            <w:r>
              <w:t xml:space="preserve">Listing 4: Fitting the classical ex-Gaussian model using {cogmod}.</w:t>
            </w:r>
          </w:p>
          <w:p>
            <w:pPr>
              <w:pStyle w:val="SourceCode"/>
              <w:jc w:val="left"/>
            </w:pPr>
            <w:r>
              <w:rPr>
                <w:rStyle w:val="NormalTok"/>
              </w:rPr>
              <w:t xml:space="preserve">fit_brms_new </w:t>
            </w:r>
            <w:r>
              <w:rPr>
                <w:rStyle w:val="OtherTok"/>
              </w:rPr>
              <w:t xml:space="preserve">&lt;-</w:t>
            </w:r>
            <w:r>
              <w:rPr>
                <w:rStyle w:val="NormalTok"/>
              </w:rPr>
              <w:t xml:space="preserve"> </w:t>
            </w:r>
            <w:r>
              <w:rPr>
                <w:rStyle w:val="FunctionTok"/>
              </w:rPr>
              <w:t xml:space="preserve">brm</w:t>
            </w:r>
            <w:r>
              <w:rPr>
                <w:rStyle w:val="NormalTok"/>
              </w:rPr>
              <w:t xml:space="preserve">(</w:t>
            </w:r>
            <w:r>
              <w:br/>
            </w:r>
            <w:r>
              <w:rPr>
                <w:rStyle w:val="NormalTok"/>
              </w:rPr>
              <w:t xml:space="preserve">  </w:t>
            </w:r>
            <w:r>
              <w:rPr>
                <w:rStyle w:val="FunctionTok"/>
              </w:rPr>
              <w:t xml:space="preserve">bf</w:t>
            </w:r>
            <w:r>
              <w:rPr>
                <w:rStyle w:val="NormalTok"/>
              </w:rPr>
              <w:t xml:space="preserve">(</w:t>
            </w:r>
            <w:r>
              <w:br/>
            </w:r>
            <w:r>
              <w:rPr>
                <w:rStyle w:val="NormalTok"/>
              </w:rPr>
              <w:t xml:space="preserve">    rt </w:t>
            </w:r>
            <w:r>
              <w:rPr>
                <w:rStyle w:val="SpecialCharTok"/>
              </w:rPr>
              <w:t xml:space="preserve">~</w:t>
            </w:r>
            <w:r>
              <w:rPr>
                <w:rStyle w:val="NormalTok"/>
              </w:rPr>
              <w:t xml:space="preserve"> Blur, </w:t>
            </w:r>
            <w:r>
              <w:rPr>
                <w:rStyle w:val="CommentTok"/>
              </w:rPr>
              <w:t xml:space="preserve"># mu submodel: here mu IS the Gaussian location</w:t>
            </w:r>
            <w:r>
              <w:br/>
            </w:r>
            <w:r>
              <w:rPr>
                <w:rStyle w:val="NormalTok"/>
              </w:rPr>
              <w:t xml:space="preserve">    tau </w:t>
            </w:r>
            <w:r>
              <w:rPr>
                <w:rStyle w:val="SpecialCharTok"/>
              </w:rPr>
              <w:t xml:space="preserve">~</w:t>
            </w:r>
            <w:r>
              <w:rPr>
                <w:rStyle w:val="NormalTok"/>
              </w:rPr>
              <w:t xml:space="preserve"> Blur, </w:t>
            </w:r>
            <w:r>
              <w:rPr>
                <w:rStyle w:val="CommentTok"/>
              </w:rPr>
              <w:t xml:space="preserve"># exponential mean (the tail), allowed to vary</w:t>
            </w:r>
            <w:r>
              <w:br/>
            </w:r>
            <w:r>
              <w:rPr>
                <w:rStyle w:val="NormalTok"/>
              </w:rPr>
              <w:t xml:space="preserve">    sigma </w:t>
            </w:r>
            <w:r>
              <w:rPr>
                <w:rStyle w:val="SpecialCharTok"/>
              </w:rPr>
              <w:t xml:space="preserve">~</w:t>
            </w:r>
            <w:r>
              <w:rPr>
                <w:rStyle w:val="NormalTok"/>
              </w:rPr>
              <w:t xml:space="preserve"> </w:t>
            </w:r>
            <w:r>
              <w:rPr>
                <w:rStyle w:val="DecValTok"/>
              </w:rPr>
              <w:t xml:space="preserve">1</w:t>
            </w:r>
            <w:r>
              <w:rPr>
                <w:rStyle w:val="NormalTok"/>
              </w:rPr>
              <w:t xml:space="preserve"> </w:t>
            </w:r>
            <w:r>
              <w:rPr>
                <w:rStyle w:val="CommentTok"/>
              </w:rPr>
              <w:t xml:space="preserve"># constant Gaussian SD</w:t>
            </w:r>
            <w:r>
              <w:br/>
            </w:r>
            <w:r>
              <w:rPr>
                <w:rStyle w:val="NormalTok"/>
              </w:rPr>
              <w:t xml:space="preserve">  ),</w:t>
            </w:r>
            <w:r>
              <w:br/>
            </w:r>
            <w:r>
              <w:rPr>
                <w:rStyle w:val="NormalTok"/>
              </w:rPr>
              <w:t xml:space="preserve">  </w:t>
            </w:r>
            <w:r>
              <w:rPr>
                <w:rStyle w:val="AttributeTok"/>
              </w:rPr>
              <w:t xml:space="preserve">data =</w:t>
            </w:r>
            <w:r>
              <w:rPr>
                <w:rStyle w:val="NormalTok"/>
              </w:rPr>
              <w:t xml:space="preserve"> d,</w:t>
            </w:r>
            <w:r>
              <w:br/>
            </w:r>
            <w:r>
              <w:rPr>
                <w:rStyle w:val="NormalTok"/>
              </w:rPr>
              <w:t xml:space="preserve">  </w:t>
            </w:r>
            <w:r>
              <w:rPr>
                <w:rStyle w:val="AttributeTok"/>
              </w:rPr>
              <w:t xml:space="preserve">prior =</w:t>
            </w:r>
            <w:r>
              <w:rPr>
                <w:rStyle w:val="NormalTok"/>
              </w:rPr>
              <w:t xml:space="preserve"> priors_classical,</w:t>
            </w:r>
            <w:r>
              <w:br/>
            </w:r>
            <w:r>
              <w:rPr>
                <w:rStyle w:val="NormalTok"/>
              </w:rPr>
              <w:t xml:space="preserve">  </w:t>
            </w:r>
            <w:r>
              <w:rPr>
                <w:rStyle w:val="AttributeTok"/>
              </w:rPr>
              <w:t xml:space="preserve">family =</w:t>
            </w:r>
            <w:r>
              <w:rPr>
                <w:rStyle w:val="NormalTok"/>
              </w:rPr>
              <w:t xml:space="preserve"> </w:t>
            </w:r>
            <w:r>
              <w:rPr>
                <w:rStyle w:val="FunctionTok"/>
              </w:rPr>
              <w:t xml:space="preserve">rt_exgaussian</w:t>
            </w:r>
            <w:r>
              <w:rPr>
                <w:rStyle w:val="NormalTok"/>
              </w:rPr>
              <w:t xml:space="preserve">(</w:t>
            </w:r>
            <w:r>
              <w:br/>
            </w:r>
            <w:r>
              <w:rPr>
                <w:rStyle w:val="NormalTok"/>
              </w:rPr>
              <w:t xml:space="preserve">    </w:t>
            </w:r>
            <w:r>
              <w:rPr>
                <w:rStyle w:val="AttributeTok"/>
              </w:rPr>
              <w:t xml:space="preserve">link =</w:t>
            </w:r>
            <w:r>
              <w:rPr>
                <w:rStyle w:val="NormalTok"/>
              </w:rPr>
              <w:t xml:space="preserve"> </w:t>
            </w:r>
            <w:r>
              <w:rPr>
                <w:rStyle w:val="StringTok"/>
              </w:rPr>
              <w:t xml:space="preserve">"identity"</w:t>
            </w:r>
            <w:r>
              <w:rPr>
                <w:rStyle w:val="NormalTok"/>
              </w:rPr>
              <w:t xml:space="preserve">,</w:t>
            </w:r>
            <w:r>
              <w:br/>
            </w:r>
            <w:r>
              <w:rPr>
                <w:rStyle w:val="NormalTok"/>
              </w:rPr>
              <w:t xml:space="preserve">    </w:t>
            </w:r>
            <w:r>
              <w:rPr>
                <w:rStyle w:val="AttributeTok"/>
              </w:rPr>
              <w:t xml:space="preserve">link_sigma =</w:t>
            </w:r>
            <w:r>
              <w:rPr>
                <w:rStyle w:val="NormalTok"/>
              </w:rPr>
              <w:t xml:space="preserve"> </w:t>
            </w:r>
            <w:r>
              <w:rPr>
                <w:rStyle w:val="StringTok"/>
              </w:rPr>
              <w:t xml:space="preserve">"log"</w:t>
            </w:r>
            <w:r>
              <w:rPr>
                <w:rStyle w:val="NormalTok"/>
              </w:rPr>
              <w:t xml:space="preserve">,</w:t>
            </w:r>
            <w:r>
              <w:br/>
            </w:r>
            <w:r>
              <w:rPr>
                <w:rStyle w:val="NormalTok"/>
              </w:rPr>
              <w:t xml:space="preserve">    </w:t>
            </w:r>
            <w:r>
              <w:rPr>
                <w:rStyle w:val="AttributeTok"/>
              </w:rPr>
              <w:t xml:space="preserve">link_tau =</w:t>
            </w:r>
            <w:r>
              <w:rPr>
                <w:rStyle w:val="NormalTok"/>
              </w:rPr>
              <w:t xml:space="preserve"> </w:t>
            </w:r>
            <w:r>
              <w:rPr>
                <w:rStyle w:val="StringTok"/>
              </w:rPr>
              <w:t xml:space="preserve">"log"</w:t>
            </w:r>
            <w:r>
              <w:br/>
            </w:r>
            <w:r>
              <w:rPr>
                <w:rStyle w:val="NormalTok"/>
              </w:rPr>
              <w:t xml:space="preserve">  ), </w:t>
            </w:r>
            <w:r>
              <w:rPr>
                <w:rStyle w:val="CommentTok"/>
              </w:rPr>
              <w:t xml:space="preserve"># {cogmod} family with identity/log links</w:t>
            </w:r>
            <w:r>
              <w:br/>
            </w:r>
            <w:r>
              <w:rPr>
                <w:rStyle w:val="NormalTok"/>
              </w:rPr>
              <w:t xml:space="preserve">  </w:t>
            </w:r>
            <w:r>
              <w:rPr>
                <w:rStyle w:val="AttributeTok"/>
              </w:rPr>
              <w:t xml:space="preserve">stanvars =</w:t>
            </w:r>
            <w:r>
              <w:rPr>
                <w:rStyle w:val="NormalTok"/>
              </w:rPr>
              <w:t xml:space="preserve"> </w:t>
            </w:r>
            <w:r>
              <w:rPr>
                <w:rStyle w:val="FunctionTok"/>
              </w:rPr>
              <w:t xml:space="preserve">rt_exgaussian_stanvars</w:t>
            </w:r>
            <w:r>
              <w:rPr>
                <w:rStyle w:val="NormalTok"/>
              </w:rPr>
              <w:t xml:space="preserve">(), </w:t>
            </w:r>
            <w:r>
              <w:rPr>
                <w:rStyle w:val="CommentTok"/>
              </w:rPr>
              <w:t xml:space="preserve"># Stan code injected into the model</w:t>
            </w:r>
            <w:r>
              <w:br/>
            </w:r>
            <w:r>
              <w:rPr>
                <w:rStyle w:val="NormalTok"/>
              </w:rPr>
              <w:t xml:space="preserve">  </w:t>
            </w:r>
            <w:r>
              <w:rPr>
                <w:rStyle w:val="AttributeTok"/>
              </w:rPr>
              <w:t xml:space="preserve">chains =</w:t>
            </w:r>
            <w:r>
              <w:rPr>
                <w:rStyle w:val="NormalTok"/>
              </w:rPr>
              <w:t xml:space="preserve"> </w:t>
            </w:r>
            <w:r>
              <w:rPr>
                <w:rStyle w:val="DecValTok"/>
              </w:rPr>
              <w:t xml:space="preserve">2</w:t>
            </w:r>
            <w:r>
              <w:rPr>
                <w:rStyle w:val="NormalTok"/>
              </w:rPr>
              <w:t xml:space="preserve">,</w:t>
            </w:r>
            <w:r>
              <w:br/>
            </w:r>
            <w:r>
              <w:rPr>
                <w:rStyle w:val="NormalTok"/>
              </w:rPr>
              <w:t xml:space="preserve">  </w:t>
            </w:r>
            <w:r>
              <w:rPr>
                <w:rStyle w:val="AttributeTok"/>
              </w:rPr>
              <w:t xml:space="preserve">iter =</w:t>
            </w:r>
            <w:r>
              <w:rPr>
                <w:rStyle w:val="NormalTok"/>
              </w:rPr>
              <w:t xml:space="preserve"> </w:t>
            </w:r>
            <w:r>
              <w:rPr>
                <w:rStyle w:val="DecValTok"/>
              </w:rPr>
              <w:t xml:space="preserve">2000</w:t>
            </w:r>
            <w:r>
              <w:rPr>
                <w:rStyle w:val="NormalTok"/>
              </w:rPr>
              <w:t xml:space="preserve">,</w:t>
            </w:r>
            <w:r>
              <w:br/>
            </w:r>
            <w:r>
              <w:rPr>
                <w:rStyle w:val="NormalTok"/>
              </w:rPr>
              <w:t xml:space="preserve">  </w:t>
            </w:r>
            <w:r>
              <w:rPr>
                <w:rStyle w:val="AttributeTok"/>
              </w:rPr>
              <w:t xml:space="preserve">warmup =</w:t>
            </w:r>
            <w:r>
              <w:rPr>
                <w:rStyle w:val="NormalTok"/>
              </w:rPr>
              <w:t xml:space="preserve"> </w:t>
            </w:r>
            <w:r>
              <w:rPr>
                <w:rStyle w:val="DecValTok"/>
              </w:rPr>
              <w:t xml:space="preserve">500</w:t>
            </w:r>
            <w:r>
              <w:rPr>
                <w:rStyle w:val="NormalTok"/>
              </w:rPr>
              <w:t xml:space="preserve">,</w:t>
            </w:r>
            <w:r>
              <w:br/>
            </w:r>
            <w:r>
              <w:rPr>
                <w:rStyle w:val="NormalTok"/>
              </w:rPr>
              <w:t xml:space="preserve">  </w:t>
            </w:r>
            <w:r>
              <w:rPr>
                <w:rStyle w:val="AttributeTok"/>
              </w:rPr>
              <w:t xml:space="preserve">backend =</w:t>
            </w:r>
            <w:r>
              <w:rPr>
                <w:rStyle w:val="NormalTok"/>
              </w:rPr>
              <w:t xml:space="preserve"> </w:t>
            </w:r>
            <w:r>
              <w:rPr>
                <w:rStyle w:val="StringTok"/>
              </w:rPr>
              <w:t xml:space="preserve">"cmdstanr"</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seed =</w:t>
            </w:r>
            <w:r>
              <w:rPr>
                <w:rStyle w:val="NormalTok"/>
              </w:rPr>
              <w:t xml:space="preserve"> </w:t>
            </w:r>
            <w:r>
              <w:rPr>
                <w:rStyle w:val="DecValTok"/>
              </w:rPr>
              <w:t xml:space="preserve">1234</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FunctionTok"/>
              </w:rPr>
              <w:t xml:space="preserve">file.path</w:t>
            </w:r>
            <w:r>
              <w:rPr>
                <w:rStyle w:val="NormalTok"/>
              </w:rPr>
              <w:t xml:space="preserve">(fits_dir, </w:t>
            </w:r>
            <w:r>
              <w:rPr>
                <w:rStyle w:val="StringTok"/>
              </w:rPr>
              <w:t xml:space="preserve">"fit-classical"</w:t>
            </w:r>
            <w:r>
              <w:rPr>
                <w:rStyle w:val="NormalTok"/>
              </w:rPr>
              <w:t xml:space="preserve">), </w:t>
            </w:r>
            <w:r>
              <w:rPr>
                <w:rStyle w:val="CommentTok"/>
              </w:rPr>
              <w:t xml:space="preserve"># cache: skip refitting if unchanged</w:t>
            </w:r>
            <w:r>
              <w:br/>
            </w:r>
            <w:r>
              <w:rPr>
                <w:rStyle w:val="NormalTok"/>
              </w:rPr>
              <w:t xml:space="preserve">  </w:t>
            </w:r>
            <w:r>
              <w:rPr>
                <w:rStyle w:val="AttributeTok"/>
              </w:rPr>
              <w:t xml:space="preserve">file_refit =</w:t>
            </w:r>
            <w:r>
              <w:rPr>
                <w:rStyle w:val="NormalTok"/>
              </w:rPr>
              <w:t xml:space="preserve"> </w:t>
            </w:r>
            <w:r>
              <w:rPr>
                <w:rStyle w:val="StringTok"/>
              </w:rPr>
              <w:t xml:space="preserve">"on_change"</w:t>
            </w:r>
            <w:r>
              <w:rPr>
                <w:rStyle w:val="NormalTok"/>
              </w:rPr>
              <w:t xml:space="preserve"> </w:t>
            </w:r>
            <w:r>
              <w:rPr>
                <w:rStyle w:val="CommentTok"/>
              </w:rPr>
              <w:t xml:space="preserve"># but do refit if the model spec above changes</w:t>
            </w:r>
            <w:r>
              <w:br/>
            </w:r>
            <w:r>
              <w:rPr>
                <w:rStyle w:val="NormalTok"/>
              </w:rPr>
              <w:t xml:space="preserve">)</w:t>
            </w:r>
          </w:p>
          <w:bookmarkEnd w:id="60"/>
        </w:tc>
      </w:tr>
    </w:tbl>
    <w:bookmarkEnd w:id="61"/>
    <w:bookmarkStart w:id="62" w:name="Xf1881fa03386ccd01ef8a6de585e309ed9529e2"/>
    <w:p>
      <w:pPr>
        <w:pStyle w:val="Heading3"/>
      </w:pPr>
      <w:r>
        <w:t xml:space="preserve">Estimating the Gaussian-Location Parameter</w:t>
      </w:r>
    </w:p>
    <w:p>
      <w:pPr>
        <w:pStyle w:val="FirstParagraph"/>
      </w:pPr>
      <w:r>
        <w:t xml:space="preserve">For the classical model, estimates from the primary regression formula correspond to the Gaussian-location parameter</w:t>
      </w:r>
      <w:r>
        <w:t xml:space="preserve"> </w:t>
      </w:r>
      <m:oMath>
        <m:r>
          <m:t>μ</m:t>
        </m:r>
      </m:oMath>
      <w:r>
        <w:t xml:space="preserve">.</w:t>
      </w:r>
    </w:p>
    <w:p>
      <w:pPr>
        <w:pStyle w:val="BodyText"/>
      </w:pPr>
      <w:r>
        <w:t xml:space="preserve">The estimates are approximately 500 ms for Clear and 550 ms for Low-Blur.</w:t>
      </w:r>
    </w:p>
    <w:p>
      <w:pPr>
        <w:pStyle w:val="BodyText"/>
      </w:pPr>
      <w:r>
        <w:t xml:space="preserve">The contrast between the two can be obtained using</w:t>
      </w:r>
      <w:r>
        <w:t xml:space="preserve"> </w:t>
      </w:r>
      <w:r>
        <w:rPr>
          <w:rStyle w:val="VerbatimChar"/>
        </w:rPr>
        <w:t xml:space="preserve">estimate_contrasts()</w:t>
      </w:r>
      <w:r>
        <w:t xml:space="preserve"> </w:t>
      </w:r>
      <w:r>
        <w:t xml:space="preserve">(see</w:t>
      </w:r>
      <w:r>
        <w:t xml:space="preserve"> </w:t>
      </w:r>
      <w:hyperlink w:anchor="tbl-classical-contrast">
        <w:r>
          <w:rPr>
            <w:rStyle w:val="Hyperlink"/>
          </w:rPr>
          <w:t xml:space="preserve">Table 6</w:t>
        </w:r>
      </w:hyperlink>
      <w:r>
        <w:t xml:space="preserve">).</w:t>
      </w:r>
    </w:p>
    <w:p>
      <w:pPr>
        <w:pStyle w:val="BodyText"/>
      </w:pPr>
      <w:r>
        <w:t xml:space="preserve">The posterior mean will not necessarily equal exactly 50 ms because of sampling variability. However, the 95% credible interval should contain the population value of 50 ms when the model successfully recovers the simulated effect.</w:t>
      </w:r>
    </w:p>
    <w:bookmarkEnd w:id="62"/>
    <w:bookmarkStart w:id="69" w:name="estimating-the-exponential-component-1"/>
    <w:p>
      <w:pPr>
        <w:pStyle w:val="Heading3"/>
      </w:pPr>
      <w:r>
        <w:t xml:space="preserve">Estimating the Exponential Component</w:t>
      </w:r>
    </w:p>
    <w:p>
      <w:pPr>
        <w:pStyle w:val="FirstParagraph"/>
      </w:pPr>
      <w:r>
        <w:t xml:space="preserve">Condition-specific estimates of</w:t>
      </w:r>
      <w:r>
        <w:t xml:space="preserve"> </w:t>
      </w:r>
      <m:oMath>
        <m:r>
          <m:t>τ</m:t>
        </m:r>
      </m:oMath>
      <w:r>
        <w:t xml:space="preserve"> </w:t>
      </w:r>
      <w:r>
        <w:t xml:space="preserve">can be obtained by requesting predictions for the</w:t>
      </w:r>
      <w:r>
        <w:t xml:space="preserve"> </w:t>
      </w:r>
      <w:r>
        <w:rPr>
          <w:rStyle w:val="VerbatimChar"/>
        </w:rPr>
        <w:t xml:space="preserve">tau</w:t>
      </w:r>
      <w:r>
        <w:t xml:space="preserve"> </w:t>
      </w:r>
      <w:r>
        <w:t xml:space="preserve">distributional parameter.</w:t>
      </w:r>
    </w:p>
    <w:p>
      <w:pPr>
        <w:pStyle w:val="BodyText"/>
      </w:pPr>
      <w:hyperlink w:anchor="tbl-classical-means">
        <w:r>
          <w:rPr>
            <w:rStyle w:val="Hyperlink"/>
          </w:rPr>
          <w:t xml:space="preserve">Table 5</w:t>
        </w:r>
      </w:hyperlink>
      <w:r>
        <w:t xml:space="preserve"> </w:t>
      </w:r>
      <w:r>
        <w:t xml:space="preserve">shows the Gaussian-location and exponential-component estimates together, by condition.</w:t>
      </w:r>
    </w:p>
    <w:bookmarkStart w:id="63" w:name="tbl-classical-means"/>
    <w:p>
      <w:pPr>
        <w:pStyle w:val="FigureTitle"/>
      </w:pPr>
      <w:r>
        <w:t xml:space="preserve">Table 5</w:t>
      </w:r>
    </w:p>
    <w:p>
      <w:pPr>
        <w:pStyle w:val="Caption"/>
      </w:pPr>
      <w:r>
        <w:t xml:space="preserve">Estimated Gaussian-location (</w:t>
      </w:r>
      <m:oMath>
        <m:r>
          <m:t>μ</m:t>
        </m:r>
      </m:oMath>
      <w:r>
        <w:t xml:space="preserve">) and exponential (</w:t>
      </w:r>
      <m:oMath>
        <m:r>
          <m:t>τ</m:t>
        </m:r>
      </m:oMath>
      <w:r>
        <w:t xml:space="preserve">) parameters, by condition, from the classical model.</w:t>
      </w:r>
    </w:p>
    <w:tbl>
      <w:tblPr>
        <w:tblStyle w:val="Table"/>
        <w:tblW w:type="pct" w:w="3194"/>
        <w:tblLayout w:type="fixed"/>
        <w:tblLook w:firstRow="1" w:lastRow="0" w:firstColumn="0" w:lastColumn="0" w:noHBand="0" w:noVBand="0" w:val="0020"/>
      </w:tblPr>
      <w:tblGrid>
        <w:gridCol w:w="1210"/>
        <w:gridCol w:w="1320"/>
        <w:gridCol w:w="2530"/>
      </w:tblGrid>
      <w:tr>
        <w:trPr>
          <w:tblHeader w:val="on"/>
        </w:trPr>
        <w:tc>
          <w:tcPr/>
          <w:p>
            <w:pPr>
              <w:pStyle w:val="Compact"/>
            </w:pPr>
            <w:r>
              <w:t xml:space="preserve">Blur</w:t>
            </w:r>
          </w:p>
        </w:tc>
        <w:tc>
          <w:tcPr/>
          <w:p>
            <w:pPr>
              <w:pStyle w:val="Compact"/>
            </w:pPr>
            <w:r>
              <w:t xml:space="preserve">Parameter</w:t>
            </w:r>
          </w:p>
        </w:tc>
        <w:tc>
          <w:tcPr/>
          <w:p>
            <w:pPr>
              <w:pStyle w:val="Compact"/>
            </w:pPr>
            <w:r>
              <w:t xml:space="preserve">Mean [95% CrI]</w:t>
            </w:r>
          </w:p>
        </w:tc>
      </w:tr>
      <w:tr>
        <w:tc>
          <w:tcPr/>
          <w:p>
            <w:pPr>
              <w:pStyle w:val="Compact"/>
            </w:pPr>
            <w:r>
              <w:t xml:space="preserve">Clear</w:t>
            </w:r>
          </w:p>
        </w:tc>
        <w:tc>
          <w:tcPr/>
          <w:p>
            <w:pPr>
              <w:pStyle w:val="Compact"/>
            </w:pPr>
            <w:r>
              <w:t xml:space="preserve">μ</w:t>
            </w:r>
          </w:p>
        </w:tc>
        <w:tc>
          <w:tcPr/>
          <w:p>
            <w:pPr>
              <w:pStyle w:val="Compact"/>
            </w:pPr>
            <w:r>
              <w:t xml:space="preserve">477.1 [453.6, 503.0]</w:t>
            </w:r>
          </w:p>
        </w:tc>
      </w:tr>
      <w:tr>
        <w:tc>
          <w:tcPr/>
          <w:p>
            <w:pPr>
              <w:pStyle w:val="Compact"/>
            </w:pPr>
          </w:p>
        </w:tc>
        <w:tc>
          <w:tcPr/>
          <w:p>
            <w:pPr>
              <w:pStyle w:val="Compact"/>
            </w:pPr>
            <w:r>
              <w:t xml:space="preserve">τ</w:t>
            </w:r>
          </w:p>
        </w:tc>
        <w:tc>
          <w:tcPr/>
          <w:p>
            <w:pPr>
              <w:pStyle w:val="Compact"/>
            </w:pPr>
            <w:r>
              <w:t xml:space="preserve">103.8 [75.9, 134.0]</w:t>
            </w:r>
          </w:p>
        </w:tc>
      </w:tr>
      <w:tr>
        <w:tc>
          <w:tcPr/>
          <w:p>
            <w:pPr>
              <w:pStyle w:val="Compact"/>
            </w:pPr>
            <w:r>
              <w:t xml:space="preserve">Low-Blur</w:t>
            </w:r>
          </w:p>
        </w:tc>
        <w:tc>
          <w:tcPr/>
          <w:p>
            <w:pPr>
              <w:pStyle w:val="Compact"/>
            </w:pPr>
            <w:r>
              <w:t xml:space="preserve">μ</w:t>
            </w:r>
          </w:p>
        </w:tc>
        <w:tc>
          <w:tcPr/>
          <w:p>
            <w:pPr>
              <w:pStyle w:val="Compact"/>
            </w:pPr>
            <w:r>
              <w:t xml:space="preserve">545.1 [523.9, 566.0]</w:t>
            </w:r>
          </w:p>
        </w:tc>
      </w:tr>
      <w:tr>
        <w:tc>
          <w:tcPr/>
          <w:p>
            <w:pPr>
              <w:pStyle w:val="Compact"/>
            </w:pPr>
          </w:p>
        </w:tc>
        <w:tc>
          <w:tcPr/>
          <w:p>
            <w:pPr>
              <w:pStyle w:val="Compact"/>
            </w:pPr>
            <w:r>
              <w:t xml:space="preserve">τ</w:t>
            </w:r>
          </w:p>
        </w:tc>
        <w:tc>
          <w:tcPr/>
          <w:p>
            <w:pPr>
              <w:pStyle w:val="Compact"/>
            </w:pPr>
            <w:r>
              <w:t xml:space="preserve">57.8 [36.5, 81.1]</w:t>
            </w:r>
          </w:p>
        </w:tc>
      </w:tr>
    </w:tbl>
    <w:bookmarkEnd w:id="63"/>
    <w:p>
      <w:pPr>
        <w:pStyle w:val="AfterWithoutNote"/>
      </w:pPr>
      <w:r>
        <w:t xml:space="preserve">The estimates should be close to 100 ms for Clear and 50 ms for Low-Blur for</w:t>
      </w:r>
      <w:r>
        <w:t xml:space="preserve"> </w:t>
      </w:r>
      <m:oMath>
        <m:r>
          <m:t>τ</m:t>
        </m:r>
      </m:oMath>
      <w:r>
        <w:t xml:space="preserve">.</w:t>
      </w:r>
    </w:p>
    <w:p>
      <w:pPr>
        <w:pStyle w:val="BodyText"/>
      </w:pPr>
      <w:r>
        <w:t xml:space="preserve">The corresponding contrast can be obtained using</w:t>
      </w:r>
      <w:r>
        <w:t xml:space="preserve"> </w:t>
      </w:r>
      <w:r>
        <w:rPr>
          <w:rStyle w:val="VerbatimChar"/>
        </w:rPr>
        <w:t xml:space="preserve">estimate_contrasts()</w:t>
      </w:r>
      <w:r>
        <w:t xml:space="preserve"> </w:t>
      </w:r>
      <w:r>
        <w:t xml:space="preserve">(see</w:t>
      </w:r>
      <w:r>
        <w:t xml:space="preserve"> </w:t>
      </w:r>
      <w:hyperlink w:anchor="tbl-classical-contrast">
        <w:r>
          <w:rPr>
            <w:rStyle w:val="Hyperlink"/>
          </w:rPr>
          <w:t xml:space="preserve">Table 6</w:t>
        </w:r>
      </w:hyperlink>
      <w:r>
        <w:t xml:space="preserve">).</w:t>
      </w:r>
    </w:p>
    <w:bookmarkStart w:id="64" w:name="tbl-classical-contrast"/>
    <w:p>
      <w:pPr>
        <w:pStyle w:val="FigureTitle"/>
      </w:pPr>
      <w:r>
        <w:t xml:space="preserve">Table 6</w:t>
      </w:r>
    </w:p>
    <w:p>
      <w:pPr>
        <w:pStyle w:val="Caption"/>
      </w:pPr>
      <w:r>
        <w:t xml:space="preserve">Blur contrast in the Gaussian-location (</w:t>
      </w:r>
      <m:oMath>
        <m:r>
          <m:t>μ</m:t>
        </m:r>
      </m:oMath>
      <w:r>
        <w:t xml:space="preserve">) and exponential (</w:t>
      </w:r>
      <m:oMath>
        <m:r>
          <m:t>τ</m:t>
        </m:r>
      </m:oMath>
      <w:r>
        <w:t xml:space="preserve">) parameters, from the classical model.</w:t>
      </w:r>
    </w:p>
    <w:tbl>
      <w:tblPr>
        <w:tblStyle w:val="Table"/>
        <w:tblW w:type="pct" w:w="4306"/>
        <w:tblLayout w:type="fixed"/>
        <w:tblLook w:firstRow="1" w:lastRow="0" w:firstColumn="0" w:lastColumn="0" w:noHBand="0" w:noVBand="0" w:val="0020"/>
      </w:tblPr>
      <w:tblGrid>
        <w:gridCol w:w="2090"/>
        <w:gridCol w:w="1320"/>
        <w:gridCol w:w="2530"/>
        <w:gridCol w:w="880"/>
      </w:tblGrid>
      <w:tr>
        <w:trPr>
          <w:tblHeader w:val="on"/>
        </w:trPr>
        <w:tc>
          <w:tcPr/>
          <w:p>
            <w:pPr>
              <w:pStyle w:val="Compact"/>
            </w:pPr>
            <w:r>
              <w:t xml:space="preserve">Contrast</w:t>
            </w:r>
          </w:p>
        </w:tc>
        <w:tc>
          <w:tcPr/>
          <w:p>
            <w:pPr>
              <w:pStyle w:val="Compact"/>
            </w:pPr>
            <w:r>
              <w:t xml:space="preserve">Parameter</w:t>
            </w:r>
          </w:p>
        </w:tc>
        <w:tc>
          <w:tcPr/>
          <w:p>
            <w:pPr>
              <w:pStyle w:val="Compact"/>
            </w:pPr>
            <w:r>
              <w:t xml:space="preserve">Mean [95% CrI]</w:t>
            </w:r>
          </w:p>
        </w:tc>
        <w:tc>
          <w:tcPr/>
          <w:p>
            <w:pPr>
              <w:pStyle w:val="Compact"/>
            </w:pPr>
            <w:r>
              <w:t xml:space="preserve">pd</w:t>
            </w:r>
          </w:p>
        </w:tc>
      </w:tr>
      <w:tr>
        <w:tc>
          <w:tcPr/>
          <w:p>
            <w:pPr>
              <w:pStyle w:val="Compact"/>
            </w:pPr>
            <w:r>
              <w:t xml:space="preserve">Low-Blur - Clear</w:t>
            </w:r>
          </w:p>
        </w:tc>
        <w:tc>
          <w:tcPr/>
          <w:p>
            <w:pPr>
              <w:pStyle w:val="Compact"/>
            </w:pPr>
            <w:r>
              <w:t xml:space="preserve">μ</w:t>
            </w:r>
          </w:p>
        </w:tc>
        <w:tc>
          <w:tcPr/>
          <w:p>
            <w:pPr>
              <w:pStyle w:val="Compact"/>
            </w:pPr>
            <w:r>
              <w:t xml:space="preserve">68.0 [40.4, 95.2]</w:t>
            </w:r>
          </w:p>
        </w:tc>
        <w:tc>
          <w:tcPr/>
          <w:p>
            <w:pPr>
              <w:pStyle w:val="Compact"/>
            </w:pPr>
            <w:r>
              <w:t xml:space="preserve">1.000</w:t>
            </w:r>
          </w:p>
        </w:tc>
      </w:tr>
      <w:tr>
        <w:tc>
          <w:tcPr/>
          <w:p>
            <w:pPr>
              <w:pStyle w:val="Compact"/>
            </w:pPr>
            <w:r>
              <w:t xml:space="preserve">Low-Blur - Clear</w:t>
            </w:r>
          </w:p>
        </w:tc>
        <w:tc>
          <w:tcPr/>
          <w:p>
            <w:pPr>
              <w:pStyle w:val="Compact"/>
            </w:pPr>
            <w:r>
              <w:t xml:space="preserve">τ</w:t>
            </w:r>
          </w:p>
        </w:tc>
        <w:tc>
          <w:tcPr/>
          <w:p>
            <w:pPr>
              <w:pStyle w:val="Compact"/>
            </w:pPr>
            <w:r>
              <w:t xml:space="preserve">-46.0 [-78.3, -15.3]</w:t>
            </w:r>
          </w:p>
        </w:tc>
        <w:tc>
          <w:tcPr/>
          <w:p>
            <w:pPr>
              <w:pStyle w:val="Compact"/>
            </w:pPr>
            <w:r>
              <w:t xml:space="preserve">0.998</w:t>
            </w:r>
          </w:p>
        </w:tc>
      </w:tr>
    </w:tbl>
    <w:bookmarkEnd w:id="64"/>
    <w:p>
      <w:pPr>
        <w:pStyle w:val="AfterWithoutNote"/>
      </w:pPr>
      <w:r>
        <w:t xml:space="preserve">The results seen in</w:t>
      </w:r>
      <w:r>
        <w:t xml:space="preserve"> </w:t>
      </w:r>
      <w:hyperlink w:anchor="tbl-classical-contrast">
        <w:r>
          <w:rPr>
            <w:rStyle w:val="Hyperlink"/>
          </w:rPr>
          <w:t xml:space="preserve">Table 6</w:t>
        </w:r>
      </w:hyperlink>
      <w:r>
        <w:t xml:space="preserve"> </w:t>
      </w:r>
      <w:r>
        <w:t xml:space="preserve">are very similar to those from the default parameterization for</w:t>
      </w:r>
      <w:r>
        <w:t xml:space="preserve"> </w:t>
      </w:r>
      <m:oMath>
        <m:r>
          <m:t>τ</m:t>
        </m:r>
      </m:oMath>
      <w:r>
        <w:t xml:space="preserve">, but unlike the default model, the classical model’s</w:t>
      </w:r>
      <w:r>
        <w:t xml:space="preserve"> </w:t>
      </w:r>
      <m:oMath>
        <m:r>
          <m:t>μ</m:t>
        </m:r>
      </m:oMath>
      <w:r>
        <w:t xml:space="preserve"> </w:t>
      </w:r>
      <w:r>
        <w:t xml:space="preserve">contrast directly recovers the simulated 50-ms shift in the Gaussian location.</w:t>
      </w:r>
    </w:p>
    <w:p>
      <w:pPr>
        <w:pStyle w:val="BodyText"/>
      </w:pPr>
      <w:r>
        <w:t xml:space="preserve">This example illustrates the central difference between the two parameterizations. The default {</w:t>
      </w:r>
      <w:r>
        <w:rPr>
          <w:rStyle w:val="VerbatimChar"/>
          <w:b/>
          <w:bCs/>
        </w:rPr>
        <w:t xml:space="preserve">brms</w:t>
      </w:r>
      <w:r>
        <w:t xml:space="preserve">} ex-Gaussian model directly estimates the expected response and labels that parameter</w:t>
      </w:r>
      <w:r>
        <w:t xml:space="preserve"> </w:t>
      </w:r>
      <w:r>
        <w:rPr>
          <w:rStyle w:val="VerbatimChar"/>
        </w:rPr>
        <w:t xml:space="preserve">mu</w:t>
      </w:r>
      <w:r>
        <w:t xml:space="preserve">. The exponential component is labeled</w:t>
      </w:r>
      <w:r>
        <w:t xml:space="preserve"> </w:t>
      </w:r>
      <w:r>
        <w:rPr>
          <w:rStyle w:val="VerbatimChar"/>
        </w:rPr>
        <w:t xml:space="preserve">beta</w:t>
      </w:r>
      <w:r>
        <w:t xml:space="preserve">, although it corresponds to the classical</w:t>
      </w:r>
      <w:r>
        <w:t xml:space="preserve"> </w:t>
      </w:r>
      <m:oMath>
        <m:r>
          <m:t>τ</m:t>
        </m:r>
      </m:oMath>
      <w:r>
        <w:t xml:space="preserve"> </w:t>
      </w:r>
      <w:r>
        <w:t xml:space="preserve">parameter. In contrast, the</w:t>
      </w:r>
      <w:r>
        <w:t xml:space="preserve"> </w:t>
      </w:r>
      <w:r>
        <w:rPr>
          <w:rStyle w:val="VerbatimChar"/>
        </w:rPr>
        <w:t xml:space="preserve">{cogmod}</w:t>
      </w:r>
      <w:r>
        <w:t xml:space="preserve">’s</w:t>
      </w:r>
      <w:r>
        <w:t xml:space="preserve"> </w:t>
      </w:r>
      <w:r>
        <w:rPr>
          <w:rStyle w:val="VerbatimChar"/>
        </w:rPr>
        <w:t xml:space="preserve">rt_exgaussian()</w:t>
      </w:r>
      <w:r>
        <w:t xml:space="preserve"> </w:t>
      </w:r>
      <w:r>
        <w:t xml:space="preserve">model uses</w:t>
      </w:r>
      <w:r>
        <w:t xml:space="preserve"> </w:t>
      </w:r>
      <w:r>
        <w:rPr>
          <w:rStyle w:val="VerbatimChar"/>
        </w:rPr>
        <w:t xml:space="preserve">mu</w:t>
      </w:r>
      <w:r>
        <w:t xml:space="preserve"> </w:t>
      </w:r>
      <w:r>
        <w:t xml:space="preserve">for the Gaussian-location parameter and</w:t>
      </w:r>
      <w:r>
        <w:t xml:space="preserve"> </w:t>
      </w:r>
      <w:r>
        <w:rPr>
          <w:rStyle w:val="VerbatimChar"/>
        </w:rPr>
        <w:t xml:space="preserve">tau</w:t>
      </w:r>
      <w:r>
        <w:t xml:space="preserve"> </w:t>
      </w:r>
      <w:r>
        <w:t xml:space="preserve">for the exponential mean, consistent with the classical parameterization commonly used in reaction-time research.</w:t>
      </w:r>
    </w:p>
    <w:p>
      <w:pPr>
        <w:pStyle w:val="BodyText"/>
      </w:pPr>
      <w:hyperlink w:anchor="fig-abstract">
        <w:r>
          <w:rPr>
            <w:rStyle w:val="Hyperlink"/>
          </w:rPr>
          <w:t xml:space="preserve">Figure 2</w:t>
        </w:r>
      </w:hyperlink>
      <w:r>
        <w:t xml:space="preserve"> </w:t>
      </w:r>
      <w:r>
        <w:t xml:space="preserve">summarizes this simulation in a single picture: the two simulated distributions differ by 50 ms in the Gaussian location</w:t>
      </w:r>
      <w:r>
        <w:t xml:space="preserve"> </w:t>
      </w:r>
      <m:oMath>
        <m:r>
          <m:t>μ</m:t>
        </m:r>
      </m:oMath>
      <w:r>
        <w:t xml:space="preserve">, but only the classical parameterization’s contrast on</w:t>
      </w:r>
      <w:r>
        <w:t xml:space="preserve"> </w:t>
      </w:r>
      <m:oMath>
        <m:r>
          <m:t>μ</m:t>
        </m:r>
      </m:oMath>
      <w:r>
        <w:t xml:space="preserve"> </w:t>
      </w:r>
      <w:r>
        <w:t xml:space="preserve">detects that difference — the default {brms} model’s contrast (on</w:t>
      </w:r>
      <w:r>
        <w:t xml:space="preserve"> </w:t>
      </w:r>
      <m:oMath>
        <m:r>
          <m:t>E</m:t>
        </m:r>
        <m:r>
          <m:rPr>
            <m:sty m:val="p"/>
          </m:rPr>
          <m:t>(</m:t>
        </m:r>
        <m:r>
          <m:t>R</m:t>
        </m:r>
        <m:r>
          <m:t>T</m:t>
        </m:r>
        <m:r>
          <m:rPr>
            <m:sty m:val="p"/>
          </m:rPr>
          <m:t>)</m:t>
        </m:r>
      </m:oMath>
      <w:r>
        <w:t xml:space="preserve">) does not.</w:t>
      </w:r>
    </w:p>
    <w:bookmarkStart w:id="68" w:name="fig-abstract"/>
    <w:p>
      <w:pPr>
        <w:pStyle w:val="FigureTitle"/>
      </w:pPr>
      <w:r>
        <w:t xml:space="preserve">Figure 2</w:t>
      </w:r>
    </w:p>
    <w:p>
      <w:pPr>
        <w:pStyle w:val="Caption"/>
      </w:pPr>
      <w:r>
        <w:t xml:space="preserve">Graphical summary of the Simulation Example. Top: simulated reaction-time distributions for the Clear and Low-Blur conditions, which differ by 50 ms in the Gaussian location</w:t>
      </w:r>
      <w:r>
        <w:t xml:space="preserve"> </w:t>
      </w:r>
      <m:oMath>
        <m:r>
          <m:t>μ</m:t>
        </m:r>
      </m:oMath>
      <w:r>
        <w:t xml:space="preserve">. Bottom: the Blur contrast under each parameterization, with credibility determined by whether the 95% credible interval excludes zero; pd is the probability of direction.</w:t>
      </w:r>
    </w:p>
    <w:p>
      <w:pPr>
        <w:pStyle w:val="FigureWithoutNote"/>
      </w:pPr>
      <w:r>
        <w:drawing>
          <wp:inline>
            <wp:extent cx="5943600" cy="4754880"/>
            <wp:effectExtent b="0" l="0" r="0" t="0"/>
            <wp:docPr descr="" title="" id="66" name="Picture"/>
            <a:graphic>
              <a:graphicData uri="http://schemas.openxmlformats.org/drawingml/2006/picture">
                <pic:pic>
                  <pic:nvPicPr>
                    <pic:cNvPr descr="ms_files/figure-docx/fig-abstract-1.png" id="67" name="Picture"/>
                    <pic:cNvPicPr>
                      <a:picLocks noChangeArrowheads="1" noChangeAspect="1"/>
                    </pic:cNvPicPr>
                  </pic:nvPicPr>
                  <pic:blipFill>
                    <a:blip r:embed="rId65"/>
                    <a:stretch>
                      <a:fillRect/>
                    </a:stretch>
                  </pic:blipFill>
                  <pic:spPr bwMode="auto">
                    <a:xfrm>
                      <a:off x="0" y="0"/>
                      <a:ext cx="5943600" cy="4754880"/>
                    </a:xfrm>
                    <a:prstGeom prst="rect">
                      <a:avLst/>
                    </a:prstGeom>
                    <a:noFill/>
                    <a:ln w="9525">
                      <a:noFill/>
                      <a:headEnd/>
                      <a:tailEnd/>
                    </a:ln>
                  </pic:spPr>
                </pic:pic>
              </a:graphicData>
            </a:graphic>
          </wp:inline>
        </w:drawing>
      </w:r>
    </w:p>
    <w:bookmarkEnd w:id="68"/>
    <w:bookmarkEnd w:id="69"/>
    <w:bookmarkEnd w:id="70"/>
    <w:bookmarkEnd w:id="71"/>
    <w:bookmarkStart w:id="78" w:name="X4498437b500edc58cf24037256eef2089b9e908"/>
    <w:p>
      <w:pPr>
        <w:pStyle w:val="Heading1"/>
      </w:pPr>
      <w:r>
        <w:t xml:space="preserve">From Simulation to Application: Reanalysis of</w:t>
      </w:r>
      <w:r>
        <w:t xml:space="preserve"> </w:t>
      </w:r>
      <w:r>
        <w:t xml:space="preserve">Angele et al. (</w:t>
      </w:r>
      <w:hyperlink w:anchor="ref-angele2023">
        <w:r>
          <w:rPr>
            <w:rStyle w:val="Hyperlink"/>
          </w:rPr>
          <w:t xml:space="preserve">2023</w:t>
        </w:r>
      </w:hyperlink>
      <w:r>
        <w:t xml:space="preserve">)</w:t>
      </w:r>
    </w:p>
    <w:p>
      <w:pPr>
        <w:pStyle w:val="FirstParagraph"/>
      </w:pPr>
      <w:r>
        <w:t xml:space="preserve">In order to demonstrate how the difference between parameterizations can affect the interpretation of real data, we re-analyze Experiment 1 from</w:t>
      </w:r>
      <w:r>
        <w:t xml:space="preserve"> </w:t>
      </w:r>
      <w:r>
        <w:t xml:space="preserve">Angele et al. (</w:t>
      </w:r>
      <w:hyperlink w:anchor="ref-angele2023">
        <w:r>
          <w:rPr>
            <w:rStyle w:val="Hyperlink"/>
          </w:rPr>
          <w:t xml:space="preserve">2023</w:t>
        </w:r>
      </w:hyperlink>
      <w:r>
        <w:t xml:space="preserve">)</w:t>
      </w:r>
      <w:r>
        <w:t xml:space="preserve">. The main focus of</w:t>
      </w:r>
      <w:r>
        <w:t xml:space="preserve"> </w:t>
      </w:r>
      <w:r>
        <w:t xml:space="preserve">Angele et al. (</w:t>
      </w:r>
      <w:hyperlink w:anchor="ref-angele2023">
        <w:r>
          <w:rPr>
            <w:rStyle w:val="Hyperlink"/>
          </w:rPr>
          <w:t xml:space="preserve">2023</w:t>
        </w:r>
      </w:hyperlink>
      <w:r>
        <w:t xml:space="preserve">)</w:t>
      </w:r>
      <w:r>
        <w:t xml:space="preserve">’s study was to test whether the masked priming paradigm can be successfully implemented in a JavaScript-based online experiment built in PsychoPy</w:t>
      </w:r>
      <w:r>
        <w:t xml:space="preserve"> </w:t>
      </w:r>
      <w:r>
        <w:t xml:space="preserve">(</w:t>
      </w:r>
      <w:hyperlink w:anchor="ref-peirce2019">
        <w:r>
          <w:rPr>
            <w:rStyle w:val="Hyperlink"/>
          </w:rPr>
          <w:t xml:space="preserve">Peirce et al., 2019</w:t>
        </w:r>
      </w:hyperlink>
      <w:r>
        <w:t xml:space="preserve">)</w:t>
      </w:r>
      <w:r>
        <w:t xml:space="preserve"> </w:t>
      </w:r>
      <w:r>
        <w:t xml:space="preserve">and hosted on Pavlovia. In a prototypical masked priming task</w:t>
      </w:r>
      <w:r>
        <w:t xml:space="preserve"> </w:t>
      </w:r>
      <w:r>
        <w:t xml:space="preserve">(</w:t>
      </w:r>
      <w:hyperlink w:anchor="ref-forster1984">
        <w:r>
          <w:rPr>
            <w:rStyle w:val="Hyperlink"/>
          </w:rPr>
          <w:t xml:space="preserve">Forster &amp; Davis, 1984</w:t>
        </w:r>
      </w:hyperlink>
      <w:r>
        <w:t xml:space="preserve">)</w:t>
      </w:r>
      <w:r>
        <w:t xml:space="preserve">, a stimulus (called the prime) is presented for a very short duration and immediately replaced by a target stimulus in the same location in upper case, on which participants must judge lexicality.</w:t>
      </w:r>
      <w:r>
        <w:t xml:space="preserve"> </w:t>
      </w:r>
      <w:r>
        <w:t xml:space="preserve">Angele et al. (</w:t>
      </w:r>
      <w:hyperlink w:anchor="ref-angele2023">
        <w:r>
          <w:rPr>
            <w:rStyle w:val="Hyperlink"/>
          </w:rPr>
          <w:t xml:space="preserve">2023</w:t>
        </w:r>
      </w:hyperlink>
      <w:r>
        <w:t xml:space="preserve">)</w:t>
      </w:r>
      <w:r>
        <w:t xml:space="preserve"> </w:t>
      </w:r>
      <w:r>
        <w:t xml:space="preserve">used masked identity priming, in which the prime is either identical to the target (e.g.,</w:t>
      </w:r>
      <w:r>
        <w:t xml:space="preserve"> </w:t>
      </w:r>
      <w:r>
        <w:rPr>
          <w:i/>
          <w:iCs/>
        </w:rPr>
        <w:t xml:space="preserve">region</w:t>
      </w:r>
      <w:r>
        <w:t xml:space="preserve">–REGION) or unrelated (e.g.,</w:t>
      </w:r>
      <w:r>
        <w:t xml:space="preserve"> </w:t>
      </w:r>
      <w:r>
        <w:rPr>
          <w:i/>
          <w:iCs/>
        </w:rPr>
        <w:t xml:space="preserve">launch</w:t>
      </w:r>
      <w:r>
        <w:t xml:space="preserve">–REGION). While testing whether masked priming could be obtained in an online setting was one goal,</w:t>
      </w:r>
      <w:r>
        <w:t xml:space="preserve"> </w:t>
      </w:r>
      <w:r>
        <w:t xml:space="preserve">Angele et al. (</w:t>
      </w:r>
      <w:hyperlink w:anchor="ref-angele2023">
        <w:r>
          <w:rPr>
            <w:rStyle w:val="Hyperlink"/>
          </w:rPr>
          <w:t xml:space="preserve">2023</w:t>
        </w:r>
      </w:hyperlink>
      <w:r>
        <w:t xml:space="preserve">)</w:t>
      </w:r>
      <w:r>
        <w:t xml:space="preserve"> </w:t>
      </w:r>
      <w:r>
        <w:t xml:space="preserve">also attempted to make a theoretical contribution by using the ex-Gaussian model to evaluate</w:t>
      </w:r>
      <w:r>
        <w:t xml:space="preserve"> </w:t>
      </w:r>
      <w:r>
        <w:t xml:space="preserve">Forster (</w:t>
      </w:r>
      <w:hyperlink w:anchor="ref-forster1998pros">
        <w:r>
          <w:rPr>
            <w:rStyle w:val="Hyperlink"/>
          </w:rPr>
          <w:t xml:space="preserve">1998</w:t>
        </w:r>
      </w:hyperlink>
      <w:r>
        <w:t xml:space="preserve">)</w:t>
      </w:r>
      <w:r>
        <w:t xml:space="preserve">’s savings hypothesis.</w:t>
      </w:r>
      <w:r>
        <w:t xml:space="preserve"> </w:t>
      </w:r>
      <w:r>
        <w:t xml:space="preserve">Forster (</w:t>
      </w:r>
      <w:hyperlink w:anchor="ref-forster1998pros">
        <w:r>
          <w:rPr>
            <w:rStyle w:val="Hyperlink"/>
          </w:rPr>
          <w:t xml:space="preserve">1998</w:t>
        </w:r>
      </w:hyperlink>
      <w:r>
        <w:t xml:space="preserve">)</w:t>
      </w:r>
      <w:r>
        <w:t xml:space="preserve"> </w:t>
      </w:r>
      <w:r>
        <w:t xml:space="preserve">argued that if the prime is identical to the target, having pre-processed the prime will allow participants to respond faster. In this case, the whole distribution of reaction times should be shifted to the left for the identical condition compared to the unrelated condition — that is, there should be an effect on</w:t>
      </w:r>
      <w:r>
        <w:t xml:space="preserve"> </w:t>
      </w:r>
      <m:oMath>
        <m:r>
          <m:t>μ</m:t>
        </m:r>
      </m:oMath>
      <w:r>
        <w:t xml:space="preserve"> </w:t>
      </w:r>
      <w:r>
        <w:t xml:space="preserve">rather than on the slower responses (i.e.,</w:t>
      </w:r>
      <w:r>
        <w:t xml:space="preserve"> </w:t>
      </w:r>
      <m:oMath>
        <m:r>
          <m:t>τ</m:t>
        </m:r>
      </m:oMath>
      <w:r>
        <w:t xml:space="preserve">). The experiment had a 2 × 2 design, crossing prime exposure duration (33.3 ms vs. 50 ms) with priming condition (Identical vs. Unrelated). Consistent with the savings hypothesis, they found a robust effect of relatedness on</w:t>
      </w:r>
      <w:r>
        <w:t xml:space="preserve"> </w:t>
      </w:r>
      <m:oMath>
        <m:r>
          <m:t>μ</m:t>
        </m:r>
      </m:oMath>
      <w:r>
        <w:t xml:space="preserve">, with responses to the unrelated condition being slower on average than to the identical condition, and this priming effect was larger at the 50-ms exposure duration than at 33.3 ms (see</w:t>
      </w:r>
      <w:r>
        <w:t xml:space="preserve"> </w:t>
      </w:r>
      <w:hyperlink w:anchor="tbl-real-contrasts">
        <w:r>
          <w:rPr>
            <w:rStyle w:val="Hyperlink"/>
          </w:rPr>
          <w:t xml:space="preserve">Table 9</w:t>
        </w:r>
      </w:hyperlink>
      <w:r>
        <w:t xml:space="preserve"> </w:t>
      </w:r>
      <w:r>
        <w:t xml:space="preserve">for estimates from this experiment). Critically, relatedness had no credible effect on</w:t>
      </w:r>
      <w:r>
        <w:t xml:space="preserve"> </w:t>
      </w:r>
      <m:oMath>
        <m:r>
          <m:t>τ</m:t>
        </m:r>
      </m:oMath>
      <w:r>
        <w:t xml:space="preserve">, indicating that the priming manipulation shifted the RT distribution rather than changing its shape.</w:t>
      </w:r>
    </w:p>
    <w:p>
      <w:pPr>
        <w:pStyle w:val="BodyText"/>
      </w:pPr>
      <w:r>
        <w:t xml:space="preserve">To fit their ex-Gaussian models,</w:t>
      </w:r>
      <w:r>
        <w:t xml:space="preserve"> </w:t>
      </w:r>
      <w:r>
        <w:t xml:space="preserve">Angele et al. (</w:t>
      </w:r>
      <w:hyperlink w:anchor="ref-angele2023">
        <w:r>
          <w:rPr>
            <w:rStyle w:val="Hyperlink"/>
          </w:rPr>
          <w:t xml:space="preserve">2023</w:t>
        </w:r>
      </w:hyperlink>
      <w:r>
        <w:t xml:space="preserve">)</w:t>
      </w:r>
      <w:r>
        <w:t xml:space="preserve"> </w:t>
      </w:r>
      <w:r>
        <w:t xml:space="preserve">used the built-in</w:t>
      </w:r>
      <w:r>
        <w:t xml:space="preserve"> </w:t>
      </w:r>
      <w:r>
        <w:rPr>
          <w:rStyle w:val="VerbatimChar"/>
        </w:rPr>
        <w:t xml:space="preserve">exgaussian()</w:t>
      </w:r>
      <w:r>
        <w:t xml:space="preserve"> </w:t>
      </w:r>
      <w:r>
        <w:t xml:space="preserve">family in {brms}. As established above, the primary formula in default {brms} models the overall distributional mean</w:t>
      </w:r>
      <w:r>
        <w:t xml:space="preserve"> </w:t>
      </w:r>
      <m:oMath>
        <m:r>
          <m:t>E</m:t>
        </m:r>
        <m:r>
          <m:rPr>
            <m:sty m:val="p"/>
          </m:rPr>
          <m:t>(</m:t>
        </m:r>
        <m:r>
          <m:t>R</m:t>
        </m:r>
        <m:r>
          <m:t>T</m:t>
        </m:r>
        <m:r>
          <m:rPr>
            <m:sty m:val="p"/>
          </m:rPr>
          <m:t>)</m:t>
        </m:r>
        <m:r>
          <m:rPr>
            <m:sty m:val="p"/>
          </m:rPr>
          <m:t>=</m:t>
        </m:r>
        <m:sSub>
          <m:e>
            <m:r>
              <m:t>μ</m:t>
            </m:r>
          </m:e>
          <m:sub>
            <m:r>
              <m:rPr>
                <m:nor/>
                <m:sty m:val="p"/>
              </m:rPr>
              <m:t>Gaussian</m:t>
            </m:r>
          </m:sub>
        </m:sSub>
        <m:r>
          <m:rPr>
            <m:sty m:val="p"/>
          </m:rPr>
          <m:t>+</m:t>
        </m:r>
        <m:r>
          <m:t>τ</m:t>
        </m:r>
      </m:oMath>
      <w:r>
        <w:t xml:space="preserve">, despite assigning the label</w:t>
      </w:r>
      <w:r>
        <w:t xml:space="preserve"> </w:t>
      </w:r>
      <w:r>
        <w:rPr>
          <w:rStyle w:val="VerbatimChar"/>
        </w:rPr>
        <w:t xml:space="preserve">mu</w:t>
      </w:r>
      <w:r>
        <w:t xml:space="preserve"> </w:t>
      </w:r>
      <w:r>
        <w:t xml:space="preserve">to this parameter. In their manuscript,</w:t>
      </w:r>
      <w:r>
        <w:t xml:space="preserve"> </w:t>
      </w:r>
      <w:r>
        <w:t xml:space="preserve">Angele et al. (</w:t>
      </w:r>
      <w:hyperlink w:anchor="ref-angele2023">
        <w:r>
          <w:rPr>
            <w:rStyle w:val="Hyperlink"/>
          </w:rPr>
          <w:t xml:space="preserve">2023</w:t>
        </w:r>
      </w:hyperlink>
      <w:r>
        <w:t xml:space="preserve">)</w:t>
      </w:r>
      <w:r>
        <w:t xml:space="preserve"> </w:t>
      </w:r>
      <w:r>
        <w:t xml:space="preserve">interpreted regression effects on</w:t>
      </w:r>
      <w:r>
        <w:t xml:space="preserve"> </w:t>
      </w:r>
      <w:r>
        <w:rPr>
          <w:rStyle w:val="VerbatimChar"/>
        </w:rPr>
        <w:t xml:space="preserve">mu</w:t>
      </w:r>
      <w:r>
        <w:t xml:space="preserve"> </w:t>
      </w:r>
      <w:r>
        <w:t xml:space="preserve">as changes in the location of the Gaussian component</w:t>
      </w:r>
      <w:r>
        <w:t xml:space="preserve"> </w:t>
      </w:r>
      <m:oMath>
        <m:r>
          <m:t>μ</m:t>
        </m:r>
      </m:oMath>
      <w:r>
        <w:t xml:space="preserve">.</w:t>
      </w:r>
    </w:p>
    <w:p>
      <w:pPr>
        <w:pStyle w:val="BodyText"/>
      </w:pPr>
      <w:r>
        <w:t xml:space="preserve">Here, we apply the classical ex-Gaussian parameterization using</w:t>
      </w:r>
      <w:r>
        <w:t xml:space="preserve"> </w:t>
      </w:r>
      <w:r>
        <w:rPr>
          <w:rStyle w:val="VerbatimChar"/>
        </w:rPr>
        <w:t xml:space="preserve">{cogmod}</w:t>
      </w:r>
      <w:r>
        <w:t xml:space="preserve">, modeling reaction times with maximal random intercepts and random slopes for participants (</w:t>
      </w:r>
      <w:r>
        <w:rPr>
          <w:rStyle w:val="VerbatimChar"/>
        </w:rPr>
        <w:t xml:space="preserve">source</w:t>
      </w:r>
      <w:r>
        <w:t xml:space="preserve">) and items (</w:t>
      </w:r>
      <w:r>
        <w:rPr>
          <w:rStyle w:val="VerbatimChar"/>
        </w:rPr>
        <w:t xml:space="preserve">Target</w:t>
      </w:r>
      <w:r>
        <w:t xml:space="preserve">) across both</w:t>
      </w:r>
      <w:r>
        <w:t xml:space="preserve"> </w:t>
      </w:r>
      <m:oMath>
        <m:r>
          <m:t>μ</m:t>
        </m:r>
      </m:oMath>
      <w:r>
        <w:t xml:space="preserve"> </w:t>
      </w:r>
      <w:r>
        <w:t xml:space="preserve">(Gaussian location) and</w:t>
      </w:r>
      <w:r>
        <w:t xml:space="preserve"> </w:t>
      </w:r>
      <m:oMath>
        <m:r>
          <m:t>τ</m:t>
        </m:r>
      </m:oMath>
      <w:r>
        <w:t xml:space="preserve"> </w:t>
      </w:r>
      <w:r>
        <w:t xml:space="preserve">(exponential mean). Reaction time is coded in milliseconds in this dataset. As discussed above, we fit this model with</w:t>
      </w:r>
      <w:r>
        <w:t xml:space="preserve"> </w:t>
      </w:r>
      <w:r>
        <w:rPr>
          <w:rStyle w:val="VerbatimChar"/>
        </w:rPr>
        <w:t xml:space="preserve">link_mu = "identity"</w:t>
      </w:r>
      <w:r>
        <w:t xml:space="preserve"> </w:t>
      </w:r>
      <w:r>
        <w:t xml:space="preserve">and</w:t>
      </w:r>
      <w:r>
        <w:t xml:space="preserve"> </w:t>
      </w:r>
      <w:r>
        <w:rPr>
          <w:rStyle w:val="VerbatimChar"/>
        </w:rPr>
        <w:t xml:space="preserve">link_sigma = link_tau = "log"</w:t>
      </w:r>
      <w:r>
        <w:t xml:space="preserve"> </w:t>
      </w:r>
      <w:r>
        <w:t xml:space="preserve">rather than {cogmod}’s default softplus links, so priors and raw model coefficients for</w:t>
      </w:r>
      <w:r>
        <w:t xml:space="preserve"> </w:t>
      </w:r>
      <m:oMath>
        <m:r>
          <m:t>μ</m:t>
        </m:r>
      </m:oMath>
      <w:r>
        <w:t xml:space="preserve"> </w:t>
      </w:r>
      <w:r>
        <w:t xml:space="preserve">are directly on the millisecond scale, and priors for</w:t>
      </w:r>
      <w:r>
        <w:t xml:space="preserve"> </w:t>
      </w:r>
      <m:oMath>
        <m:r>
          <m:t>σ</m:t>
        </m:r>
      </m:oMath>
      <w:r>
        <w:t xml:space="preserve"> </w:t>
      </w:r>
      <w:r>
        <w:t xml:space="preserve">and</w:t>
      </w:r>
      <w:r>
        <w:t xml:space="preserve"> </w:t>
      </w:r>
      <m:oMath>
        <m:r>
          <m:t>τ</m:t>
        </m:r>
      </m:oMath>
      <w:r>
        <w:t xml:space="preserve"> </w:t>
      </w:r>
      <w:r>
        <w:t xml:space="preserve">are on the (familiar, scale-robust) log scale. As with the simulated example, all condition-specific estimates and contrasts are still obtained through</w:t>
      </w:r>
      <w:r>
        <w:t xml:space="preserve"> </w:t>
      </w:r>
      <w:r>
        <w:rPr>
          <w:rStyle w:val="VerbatimChar"/>
        </w:rPr>
        <w:t xml:space="preserve">estimate_means()</w:t>
      </w:r>
      <w:r>
        <w:t xml:space="preserve">/</w:t>
      </w:r>
      <w:r>
        <w:rPr>
          <w:rStyle w:val="VerbatimChar"/>
        </w:rPr>
        <w:t xml:space="preserve">estimate_contrasts()</w:t>
      </w:r>
      <w:r>
        <w:t xml:space="preserve"> </w:t>
      </w:r>
      <w:r>
        <w:t xml:space="preserve">rather than by reading the raw coefficients directly.</w:t>
      </w:r>
    </w:p>
    <w:p>
      <w:pPr>
        <w:pStyle w:val="BodyText"/>
      </w:pPr>
      <w:r>
        <w:t xml:space="preserve">Prior specification for the classical model is summarized in</w:t>
      </w:r>
      <w:r>
        <w:t xml:space="preserve"> </w:t>
      </w:r>
      <w:hyperlink w:anchor="tbl-priors-real">
        <w:r>
          <w:rPr>
            <w:rStyle w:val="Hyperlink"/>
          </w:rPr>
          <w:t xml:space="preserve">Table 7</w:t>
        </w:r>
      </w:hyperlink>
      <w:r>
        <w:t xml:space="preserve">.</w:t>
      </w:r>
    </w:p>
    <w:bookmarkStart w:id="72" w:name="tbl-priors-real"/>
    <w:p>
      <w:pPr>
        <w:pStyle w:val="FigureTitle"/>
      </w:pPr>
      <w:r>
        <w:t xml:space="preserve">Table 7</w:t>
      </w:r>
    </w:p>
    <w:p>
      <w:pPr>
        <w:pStyle w:val="Caption"/>
      </w:pPr>
      <w:r>
        <w:t xml:space="preserve">Prior specification for the classical ex-Gaussian model fit to Experiment 1 from</w:t>
      </w:r>
      <w:r>
        <w:t xml:space="preserve"> </w:t>
      </w:r>
      <w:r>
        <w:t xml:space="preserve">Angele et al. (</w:t>
      </w:r>
      <w:hyperlink w:anchor="ref-angele2023">
        <w:r>
          <w:rPr>
            <w:rStyle w:val="Hyperlink"/>
          </w:rPr>
          <w:t xml:space="preserve">2023</w:t>
        </w:r>
      </w:hyperlink>
      <w:r>
        <w:t xml:space="preserve">)</w:t>
      </w:r>
      <w:r>
        <w:t xml:space="preserve">.</w:t>
      </w:r>
    </w:p>
    <w:tbl>
      <w:tblPr>
        <w:tblStyle w:val="Table"/>
        <w:tblW w:type="pct" w:w="3958"/>
        <w:tblLayout w:type="fixed"/>
        <w:tblLook w:firstRow="1" w:lastRow="0" w:firstColumn="0" w:lastColumn="0" w:noHBand="0" w:noVBand="0" w:val="0020"/>
      </w:tblPr>
      <w:tblGrid>
        <w:gridCol w:w="3630"/>
        <w:gridCol w:w="2640"/>
      </w:tblGrid>
      <w:tr>
        <w:trPr>
          <w:tblHeader w:val="on"/>
        </w:trPr>
        <w:tc>
          <w:tcPr/>
          <w:p>
            <w:pPr>
              <w:pStyle w:val="Compact"/>
            </w:pPr>
            <w:r>
              <w:t xml:space="preserve">Parameter</w:t>
            </w:r>
          </w:p>
        </w:tc>
        <w:tc>
          <w:tcPr/>
          <w:p>
            <w:pPr>
              <w:pStyle w:val="Compact"/>
            </w:pPr>
            <w:r>
              <w:t xml:space="preserve">Prior</w:t>
            </w:r>
          </w:p>
        </w:tc>
      </w:tr>
      <w:tr>
        <w:tc>
          <w:tcPr/>
          <w:p>
            <w:pPr>
              <w:pStyle w:val="Compact"/>
            </w:pPr>
            <w:r>
              <w:t xml:space="preserve">Intercept (μ)</w:t>
            </w:r>
          </w:p>
        </w:tc>
        <w:tc>
          <w:tcPr/>
          <w:p>
            <w:pPr>
              <w:pStyle w:val="Compact"/>
            </w:pPr>
            <w:r>
              <w:t xml:space="preserve">Normal(500, 100)</w:t>
            </w:r>
          </w:p>
        </w:tc>
      </w:tr>
      <w:tr>
        <w:tc>
          <w:tcPr/>
          <w:p>
            <w:pPr>
              <w:pStyle w:val="Compact"/>
            </w:pPr>
            <w:r>
              <w:t xml:space="preserve">Condition (μ)</w:t>
            </w:r>
          </w:p>
        </w:tc>
        <w:tc>
          <w:tcPr/>
          <w:p>
            <w:pPr>
              <w:pStyle w:val="Compact"/>
            </w:pPr>
            <w:r>
              <w:t xml:space="preserve">Normal(0, 100)</w:t>
            </w:r>
          </w:p>
        </w:tc>
      </w:tr>
      <w:tr>
        <w:tc>
          <w:tcPr/>
          <w:p>
            <w:pPr>
              <w:pStyle w:val="Compact"/>
            </w:pPr>
            <w:r>
              <w:t xml:space="preserve">Prime Duration (μ)</w:t>
            </w:r>
          </w:p>
        </w:tc>
        <w:tc>
          <w:tcPr/>
          <w:p>
            <w:pPr>
              <w:pStyle w:val="Compact"/>
            </w:pPr>
            <w:r>
              <w:t xml:space="preserve">Normal(0, 100)</w:t>
            </w:r>
          </w:p>
        </w:tc>
      </w:tr>
      <w:tr>
        <w:tc>
          <w:tcPr/>
          <w:p>
            <w:pPr>
              <w:pStyle w:val="Compact"/>
            </w:pPr>
            <w:r>
              <w:t xml:space="preserve">Condition x Prime Duration (μ)</w:t>
            </w:r>
          </w:p>
        </w:tc>
        <w:tc>
          <w:tcPr/>
          <w:p>
            <w:pPr>
              <w:pStyle w:val="Compact"/>
            </w:pPr>
            <w:r>
              <w:t xml:space="preserve">Normal(0, 100)</w:t>
            </w:r>
          </w:p>
        </w:tc>
      </w:tr>
      <w:tr>
        <w:tc>
          <w:tcPr/>
          <w:p>
            <w:pPr>
              <w:pStyle w:val="Compact"/>
            </w:pPr>
            <w:r>
              <w:t xml:space="preserve">Intercept (τ)</w:t>
            </w:r>
          </w:p>
        </w:tc>
        <w:tc>
          <w:tcPr/>
          <w:p>
            <w:pPr>
              <w:pStyle w:val="Compact"/>
            </w:pPr>
            <w:r>
              <w:t xml:space="preserve">Normal(log(100), 0.5)</w:t>
            </w:r>
          </w:p>
        </w:tc>
      </w:tr>
      <w:tr>
        <w:tc>
          <w:tcPr/>
          <w:p>
            <w:pPr>
              <w:pStyle w:val="Compact"/>
            </w:pPr>
            <w:r>
              <w:t xml:space="preserve">All effects (τ)</w:t>
            </w:r>
          </w:p>
        </w:tc>
        <w:tc>
          <w:tcPr/>
          <w:p>
            <w:pPr>
              <w:pStyle w:val="Compact"/>
            </w:pPr>
            <w:r>
              <w:t xml:space="preserve">Normal(0, 0.5)</w:t>
            </w:r>
          </w:p>
        </w:tc>
      </w:tr>
      <w:tr>
        <w:tc>
          <w:tcPr/>
          <w:p>
            <w:pPr>
              <w:pStyle w:val="Compact"/>
            </w:pPr>
            <w:r>
              <w:t xml:space="preserve">Intercept (σ)</w:t>
            </w:r>
          </w:p>
        </w:tc>
        <w:tc>
          <w:tcPr/>
          <w:p>
            <w:pPr>
              <w:pStyle w:val="Compact"/>
            </w:pPr>
            <w:r>
              <w:t xml:space="preserve">Normal(log(60), 0.5)</w:t>
            </w:r>
          </w:p>
        </w:tc>
      </w:tr>
    </w:tbl>
    <w:bookmarkEnd w:id="72"/>
    <w:p>
      <w:pPr>
        <w:pStyle w:val="AfterWithoutNote"/>
      </w:pPr>
      <w:r>
        <w:t xml:space="preserve">The classical ex-Gaussian model for Experiment 1 is specified and fit as follows (</w:t>
      </w:r>
      <w:hyperlink w:anchor="lst-fit-real-exp1">
        <w:r>
          <w:rPr>
            <w:rStyle w:val="Hyperlink"/>
          </w:rPr>
          <w:t xml:space="preserve">Listing 5</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73" w:name="lst-fit-real-exp1"/>
          <w:p>
            <w:pPr>
              <w:jc w:val="left"/>
            </w:pPr>
            <w:pPr>
              <w:jc w:val="left"/>
              <w:spacing w:before="200"/>
              <w:pStyle w:val="ImageCaption"/>
            </w:pPr>
            <w:r>
              <w:t xml:space="preserve">Listing 5: Fitting the classical ex-Gaussian hierarchical model to Experiment 1 from</w:t>
            </w:r>
            <w:r>
              <w:t xml:space="preserve"> </w:t>
            </w:r>
            <w:r>
              <w:t xml:space="preserve">Angele et al. (</w:t>
            </w:r>
            <w:hyperlink w:anchor="ref-angele2023">
              <w:r>
                <w:rPr>
                  <w:rStyle w:val="Hyperlink"/>
                </w:rPr>
                <w:t xml:space="preserve">2023</w:t>
              </w:r>
            </w:hyperlink>
            <w:r>
              <w:t xml:space="preserve">)</w:t>
            </w:r>
            <w:r>
              <w:t xml:space="preserve">.</w:t>
            </w:r>
          </w:p>
          <w:p>
            <w:pPr>
              <w:pStyle w:val="SourceCode"/>
              <w:jc w:val="left"/>
            </w:pPr>
            <w:r>
              <w:rPr>
                <w:rStyle w:val="CommentTok"/>
              </w:rPr>
              <w:t xml:space="preserve"># Fit classical ex-Gaussian hierarchical model to Experiment 1 RT data</w:t>
            </w:r>
            <w:r>
              <w:br/>
            </w:r>
            <w:r>
              <w:rPr>
                <w:rStyle w:val="NormalTok"/>
              </w:rPr>
              <w:t xml:space="preserve">blmm_exp1_classical_rt </w:t>
            </w:r>
            <w:r>
              <w:rPr>
                <w:rStyle w:val="OtherTok"/>
              </w:rPr>
              <w:t xml:space="preserve">&lt;-</w:t>
            </w:r>
            <w:r>
              <w:rPr>
                <w:rStyle w:val="NormalTok"/>
              </w:rPr>
              <w:t xml:space="preserve"> </w:t>
            </w:r>
            <w:r>
              <w:rPr>
                <w:rStyle w:val="FunctionTok"/>
              </w:rPr>
              <w:t xml:space="preserve">brm</w:t>
            </w:r>
            <w:r>
              <w:rPr>
                <w:rStyle w:val="NormalTok"/>
              </w:rPr>
              <w:t xml:space="preserve">(</w:t>
            </w:r>
            <w:r>
              <w:br/>
            </w:r>
            <w:r>
              <w:rPr>
                <w:rStyle w:val="NormalTok"/>
              </w:rPr>
              <w:t xml:space="preserve">  </w:t>
            </w:r>
            <w:r>
              <w:rPr>
                <w:rStyle w:val="AttributeTok"/>
              </w:rPr>
              <w:t xml:space="preserve">data =</w:t>
            </w:r>
            <w:r>
              <w:rPr>
                <w:rStyle w:val="NormalTok"/>
              </w:rPr>
              <w:t xml:space="preserve"> data_fit,</w:t>
            </w:r>
            <w:r>
              <w:br/>
            </w:r>
            <w:r>
              <w:rPr>
                <w:rStyle w:val="NormalTok"/>
              </w:rPr>
              <w:t xml:space="preserve">  </w:t>
            </w:r>
            <w:r>
              <w:rPr>
                <w:rStyle w:val="AttributeTok"/>
              </w:rPr>
              <w:t xml:space="preserve">formula =</w:t>
            </w:r>
            <w:r>
              <w:rPr>
                <w:rStyle w:val="NormalTok"/>
              </w:rPr>
              <w:t xml:space="preserve"> </w:t>
            </w:r>
            <w:r>
              <w:rPr>
                <w:rStyle w:val="FunctionTok"/>
              </w:rPr>
              <w:t xml:space="preserve">bf</w:t>
            </w:r>
            <w:r>
              <w:rPr>
                <w:rStyle w:val="NormalTok"/>
              </w:rPr>
              <w:t xml:space="preserve">(</w:t>
            </w:r>
            <w:r>
              <w:br/>
            </w:r>
            <w:r>
              <w:rPr>
                <w:rStyle w:val="NormalTok"/>
              </w:rPr>
              <w:t xml:space="preserve">    rt </w:t>
            </w:r>
            <w:r>
              <w:rPr>
                <w:rStyle w:val="SpecialCharTok"/>
              </w:rPr>
              <w:t xml:space="preserve">~</w:t>
            </w:r>
            <w:r>
              <w:rPr>
                <w:rStyle w:val="NormalTok"/>
              </w:rPr>
              <w:t xml:space="preserve"> Condition </w:t>
            </w:r>
            <w:r>
              <w:rPr>
                <w:rStyle w:val="SpecialCharTok"/>
              </w:rPr>
              <w:t xml:space="preserve">*</w:t>
            </w:r>
            <w:r>
              <w:br/>
            </w:r>
            <w:r>
              <w:rPr>
                <w:rStyle w:val="NormalTok"/>
              </w:rPr>
              <w:t xml:space="preserve">      PrimeDuration </w:t>
            </w:r>
            <w:r>
              <w:rPr>
                <w:rStyle w:val="SpecialCharTok"/>
              </w:rPr>
              <w:t xml:space="preserve">+</w:t>
            </w:r>
            <w:r>
              <w:br/>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Condition </w:t>
            </w:r>
            <w:r>
              <w:rPr>
                <w:rStyle w:val="SpecialCharTok"/>
              </w:rPr>
              <w:t xml:space="preserve">*</w:t>
            </w:r>
            <w:r>
              <w:rPr>
                <w:rStyle w:val="NormalTok"/>
              </w:rPr>
              <w:t xml:space="preserve"> PrimeDuration </w:t>
            </w:r>
            <w:r>
              <w:rPr>
                <w:rStyle w:val="SpecialCharTok"/>
              </w:rPr>
              <w:t xml:space="preserve">|</w:t>
            </w:r>
            <w:r>
              <w:rPr>
                <w:rStyle w:val="NormalTok"/>
              </w:rPr>
              <w:t xml:space="preserve"> source) </w:t>
            </w:r>
            <w:r>
              <w:rPr>
                <w:rStyle w:val="SpecialCharTok"/>
              </w:rPr>
              <w:t xml:space="preserve">+</w:t>
            </w:r>
            <w:r>
              <w:br/>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Condition </w:t>
            </w:r>
            <w:r>
              <w:rPr>
                <w:rStyle w:val="SpecialCharTok"/>
              </w:rPr>
              <w:t xml:space="preserve">*</w:t>
            </w:r>
            <w:r>
              <w:rPr>
                <w:rStyle w:val="NormalTok"/>
              </w:rPr>
              <w:t xml:space="preserve"> PrimeDuration </w:t>
            </w:r>
            <w:r>
              <w:rPr>
                <w:rStyle w:val="SpecialCharTok"/>
              </w:rPr>
              <w:t xml:space="preserve">|</w:t>
            </w:r>
            <w:r>
              <w:rPr>
                <w:rStyle w:val="NormalTok"/>
              </w:rPr>
              <w:t xml:space="preserve"> Target),</w:t>
            </w:r>
            <w:r>
              <w:br/>
            </w:r>
            <w:r>
              <w:rPr>
                <w:rStyle w:val="NormalTok"/>
              </w:rPr>
              <w:t xml:space="preserve">    tau </w:t>
            </w:r>
            <w:r>
              <w:rPr>
                <w:rStyle w:val="SpecialCharTok"/>
              </w:rPr>
              <w:t xml:space="preserve">~</w:t>
            </w:r>
            <w:r>
              <w:rPr>
                <w:rStyle w:val="NormalTok"/>
              </w:rPr>
              <w:t xml:space="preserve"> Condition </w:t>
            </w:r>
            <w:r>
              <w:rPr>
                <w:rStyle w:val="SpecialCharTok"/>
              </w:rPr>
              <w:t xml:space="preserve">*</w:t>
            </w:r>
            <w:r>
              <w:br/>
            </w:r>
            <w:r>
              <w:rPr>
                <w:rStyle w:val="NormalTok"/>
              </w:rPr>
              <w:t xml:space="preserve">      PrimeDuration </w:t>
            </w:r>
            <w:r>
              <w:rPr>
                <w:rStyle w:val="SpecialCharTok"/>
              </w:rPr>
              <w:t xml:space="preserve">+</w:t>
            </w:r>
            <w:r>
              <w:br/>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Condition </w:t>
            </w:r>
            <w:r>
              <w:rPr>
                <w:rStyle w:val="SpecialCharTok"/>
              </w:rPr>
              <w:t xml:space="preserve">*</w:t>
            </w:r>
            <w:r>
              <w:rPr>
                <w:rStyle w:val="NormalTok"/>
              </w:rPr>
              <w:t xml:space="preserve"> PrimeDuration </w:t>
            </w:r>
            <w:r>
              <w:rPr>
                <w:rStyle w:val="SpecialCharTok"/>
              </w:rPr>
              <w:t xml:space="preserve">|</w:t>
            </w:r>
            <w:r>
              <w:rPr>
                <w:rStyle w:val="NormalTok"/>
              </w:rPr>
              <w:t xml:space="preserve"> source) </w:t>
            </w:r>
            <w:r>
              <w:rPr>
                <w:rStyle w:val="SpecialCharTok"/>
              </w:rPr>
              <w:t xml:space="preserve">+</w:t>
            </w:r>
            <w:r>
              <w:br/>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Condition </w:t>
            </w:r>
            <w:r>
              <w:rPr>
                <w:rStyle w:val="SpecialCharTok"/>
              </w:rPr>
              <w:t xml:space="preserve">*</w:t>
            </w:r>
            <w:r>
              <w:rPr>
                <w:rStyle w:val="NormalTok"/>
              </w:rPr>
              <w:t xml:space="preserve"> PrimeDuration </w:t>
            </w:r>
            <w:r>
              <w:rPr>
                <w:rStyle w:val="SpecialCharTok"/>
              </w:rPr>
              <w:t xml:space="preserve">|</w:t>
            </w:r>
            <w:r>
              <w:rPr>
                <w:rStyle w:val="NormalTok"/>
              </w:rPr>
              <w:t xml:space="preserve"> Target),</w:t>
            </w:r>
            <w:r>
              <w:br/>
            </w:r>
            <w:r>
              <w:rPr>
                <w:rStyle w:val="NormalTok"/>
              </w:rPr>
              <w:t xml:space="preserve">    sigma </w:t>
            </w:r>
            <w:r>
              <w:rPr>
                <w:rStyle w:val="SpecialCha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rPr>
                <w:rStyle w:val="AttributeTok"/>
              </w:rPr>
              <w:t xml:space="preserve">warmup =</w:t>
            </w:r>
            <w:r>
              <w:rPr>
                <w:rStyle w:val="NormalTok"/>
              </w:rPr>
              <w:t xml:space="preserve"> </w:t>
            </w:r>
            <w:r>
              <w:rPr>
                <w:rStyle w:val="DecValTok"/>
              </w:rPr>
              <w:t xml:space="preserve">1000</w:t>
            </w:r>
            <w:r>
              <w:rPr>
                <w:rStyle w:val="NormalTok"/>
              </w:rPr>
              <w:t xml:space="preserve">,</w:t>
            </w:r>
            <w:r>
              <w:br/>
            </w:r>
            <w:r>
              <w:rPr>
                <w:rStyle w:val="NormalTok"/>
              </w:rPr>
              <w:t xml:space="preserve">  </w:t>
            </w:r>
            <w:r>
              <w:rPr>
                <w:rStyle w:val="AttributeTok"/>
              </w:rPr>
              <w:t xml:space="preserve">iter =</w:t>
            </w:r>
            <w:r>
              <w:rPr>
                <w:rStyle w:val="NormalTok"/>
              </w:rPr>
              <w:t xml:space="preserve"> </w:t>
            </w:r>
            <w:r>
              <w:rPr>
                <w:rStyle w:val="DecValTok"/>
              </w:rPr>
              <w:t xml:space="preserve">5000</w:t>
            </w:r>
            <w:r>
              <w:rPr>
                <w:rStyle w:val="NormalTok"/>
              </w:rPr>
              <w:t xml:space="preserve">,</w:t>
            </w:r>
            <w:r>
              <w:br/>
            </w:r>
            <w:r>
              <w:rPr>
                <w:rStyle w:val="NormalTok"/>
              </w:rPr>
              <w:t xml:space="preserve">  </w:t>
            </w:r>
            <w:r>
              <w:rPr>
                <w:rStyle w:val="AttributeTok"/>
              </w:rPr>
              <w:t xml:space="preserve">chains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prior =</w:t>
            </w:r>
            <w:r>
              <w:rPr>
                <w:rStyle w:val="NormalTok"/>
              </w:rPr>
              <w:t xml:space="preserve"> priors_classical,</w:t>
            </w:r>
            <w:r>
              <w:br/>
            </w:r>
            <w:r>
              <w:rPr>
                <w:rStyle w:val="NormalTok"/>
              </w:rPr>
              <w:t xml:space="preserve">  </w:t>
            </w:r>
            <w:r>
              <w:rPr>
                <w:rStyle w:val="AttributeTok"/>
              </w:rPr>
              <w:t xml:space="preserve">family =</w:t>
            </w:r>
            <w:r>
              <w:rPr>
                <w:rStyle w:val="NormalTok"/>
              </w:rPr>
              <w:t xml:space="preserve"> </w:t>
            </w:r>
            <w:r>
              <w:rPr>
                <w:rStyle w:val="FunctionTok"/>
              </w:rPr>
              <w:t xml:space="preserve">rt_exgaussian</w:t>
            </w:r>
            <w:r>
              <w:rPr>
                <w:rStyle w:val="NormalTok"/>
              </w:rPr>
              <w:t xml:space="preserve">(</w:t>
            </w:r>
            <w:r>
              <w:br/>
            </w:r>
            <w:r>
              <w:rPr>
                <w:rStyle w:val="NormalTok"/>
              </w:rPr>
              <w:t xml:space="preserve">    </w:t>
            </w:r>
            <w:r>
              <w:rPr>
                <w:rStyle w:val="AttributeTok"/>
              </w:rPr>
              <w:t xml:space="preserve">link =</w:t>
            </w:r>
            <w:r>
              <w:rPr>
                <w:rStyle w:val="NormalTok"/>
              </w:rPr>
              <w:t xml:space="preserve"> </w:t>
            </w:r>
            <w:r>
              <w:rPr>
                <w:rStyle w:val="StringTok"/>
              </w:rPr>
              <w:t xml:space="preserve">"identity"</w:t>
            </w:r>
            <w:r>
              <w:rPr>
                <w:rStyle w:val="NormalTok"/>
              </w:rPr>
              <w:t xml:space="preserve">,</w:t>
            </w:r>
            <w:r>
              <w:br/>
            </w:r>
            <w:r>
              <w:rPr>
                <w:rStyle w:val="NormalTok"/>
              </w:rPr>
              <w:t xml:space="preserve">    </w:t>
            </w:r>
            <w:r>
              <w:rPr>
                <w:rStyle w:val="AttributeTok"/>
              </w:rPr>
              <w:t xml:space="preserve">link_tau =</w:t>
            </w:r>
            <w:r>
              <w:rPr>
                <w:rStyle w:val="NormalTok"/>
              </w:rPr>
              <w:t xml:space="preserve"> </w:t>
            </w:r>
            <w:r>
              <w:rPr>
                <w:rStyle w:val="StringTok"/>
              </w:rPr>
              <w:t xml:space="preserve">"log"</w:t>
            </w:r>
            <w:r>
              <w:rPr>
                <w:rStyle w:val="NormalTok"/>
              </w:rPr>
              <w:t xml:space="preserve">,</w:t>
            </w:r>
            <w:r>
              <w:br/>
            </w:r>
            <w:r>
              <w:rPr>
                <w:rStyle w:val="NormalTok"/>
              </w:rPr>
              <w:t xml:space="preserve">    </w:t>
            </w:r>
            <w:r>
              <w:rPr>
                <w:rStyle w:val="AttributeTok"/>
              </w:rPr>
              <w:t xml:space="preserve">link_sigma =</w:t>
            </w:r>
            <w:r>
              <w:rPr>
                <w:rStyle w:val="NormalTok"/>
              </w:rPr>
              <w:t xml:space="preserve"> </w:t>
            </w:r>
            <w:r>
              <w:rPr>
                <w:rStyle w:val="StringTok"/>
              </w:rPr>
              <w:t xml:space="preserve">"log"</w:t>
            </w:r>
            <w:r>
              <w:br/>
            </w:r>
            <w:r>
              <w:rPr>
                <w:rStyle w:val="NormalTok"/>
              </w:rPr>
              <w:t xml:space="preserve">  ), </w:t>
            </w:r>
            <w:r>
              <w:rPr>
                <w:rStyle w:val="CommentTok"/>
              </w:rPr>
              <w:t xml:space="preserve"># {cogmod} family with identity/log links</w:t>
            </w:r>
            <w:r>
              <w:br/>
            </w:r>
            <w:r>
              <w:rPr>
                <w:rStyle w:val="NormalTok"/>
              </w:rPr>
              <w:t xml:space="preserve">  </w:t>
            </w:r>
            <w:r>
              <w:rPr>
                <w:rStyle w:val="AttributeTok"/>
              </w:rPr>
              <w:t xml:space="preserve">stanvars =</w:t>
            </w:r>
            <w:r>
              <w:rPr>
                <w:rStyle w:val="NormalTok"/>
              </w:rPr>
              <w:t xml:space="preserve"> </w:t>
            </w:r>
            <w:r>
              <w:rPr>
                <w:rStyle w:val="FunctionTok"/>
              </w:rPr>
              <w:t xml:space="preserve">rt_exgaussian_stanvars</w:t>
            </w:r>
            <w:r>
              <w:rPr>
                <w:rStyle w:val="NormalTok"/>
              </w:rPr>
              <w:t xml:space="preserve">(), </w:t>
            </w:r>
            <w:r>
              <w:rPr>
                <w:rStyle w:val="CommentTok"/>
              </w:rPr>
              <w:t xml:space="preserve"># Stan code injected into the model</w:t>
            </w:r>
            <w:r>
              <w:br/>
            </w:r>
            <w:r>
              <w:rPr>
                <w:rStyle w:val="NormalTok"/>
              </w:rPr>
              <w:t xml:space="preserve">  </w:t>
            </w:r>
            <w:r>
              <w:rPr>
                <w:rStyle w:val="AttributeTok"/>
              </w:rPr>
              <w:t xml:space="preserve">init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backend =</w:t>
            </w:r>
            <w:r>
              <w:rPr>
                <w:rStyle w:val="NormalTok"/>
              </w:rPr>
              <w:t xml:space="preserve"> </w:t>
            </w:r>
            <w:r>
              <w:rPr>
                <w:rStyle w:val="StringTok"/>
              </w:rPr>
              <w:t xml:space="preserve">"cmdstanr"</w:t>
            </w:r>
            <w:r>
              <w:rPr>
                <w:rStyle w:val="NormalTok"/>
              </w:rPr>
              <w:t xml:space="preserve">,</w:t>
            </w:r>
            <w:r>
              <w:br/>
            </w:r>
            <w:r>
              <w:rPr>
                <w:rStyle w:val="NormalTok"/>
              </w:rPr>
              <w:t xml:space="preserve">  </w:t>
            </w:r>
            <w:r>
              <w:rPr>
                <w:rStyle w:val="AttributeTok"/>
              </w:rPr>
              <w:t xml:space="preserve">threads =</w:t>
            </w:r>
            <w:r>
              <w:rPr>
                <w:rStyle w:val="NormalTok"/>
              </w:rPr>
              <w:t xml:space="preserve"> </w:t>
            </w:r>
            <w:r>
              <w:rPr>
                <w:rStyle w:val="FunctionTok"/>
              </w:rPr>
              <w:t xml:space="preserve">threading</w:t>
            </w:r>
            <w:r>
              <w:rPr>
                <w:rStyle w:val="NormalTok"/>
              </w:rPr>
              <w:t xml:space="preserve">(</w:t>
            </w:r>
            <w:r>
              <w:rPr>
                <w:rStyle w:val="DecValTok"/>
              </w:rPr>
              <w:t xml:space="preserve">2</w:t>
            </w:r>
            <w:r>
              <w:rPr>
                <w:rStyle w:val="NormalTok"/>
              </w:rPr>
              <w:t xml:space="preserve">)</w:t>
            </w:r>
            <w:r>
              <w:br/>
            </w:r>
            <w:r>
              <w:rPr>
                <w:rStyle w:val="NormalTok"/>
              </w:rPr>
              <w:t xml:space="preserve">)</w:t>
            </w:r>
          </w:p>
          <w:bookmarkEnd w:id="73"/>
        </w:tc>
      </w:tr>
    </w:tbl>
    <w:p>
      <w:pPr>
        <w:pStyle w:val="FirstParagraph"/>
      </w:pPr>
      <w:r>
        <w:t xml:space="preserve">Depending on the hardware used, this model may take more than 30 minutes to fit. Because of this, it is recommended to fit it once and then save the fitted model object to a file for later use.</w:t>
      </w:r>
    </w:p>
    <w:bookmarkStart w:id="76" w:name="X09a969dfe880d70ef324f328ec384ed41cfe78f"/>
    <w:p>
      <w:pPr>
        <w:pStyle w:val="Heading2"/>
      </w:pPr>
      <w:r>
        <w:t xml:space="preserve">Estimating Ex-Gaussian Parameters with</w:t>
      </w:r>
      <w:r>
        <w:t xml:space="preserve"> </w:t>
      </w:r>
      <w:r>
        <w:rPr>
          <w:rStyle w:val="VerbatimChar"/>
        </w:rPr>
        <w:t xml:space="preserve">{easystats}</w:t>
      </w:r>
    </w:p>
    <w:p>
      <w:pPr>
        <w:pStyle w:val="FirstParagraph"/>
      </w:pPr>
      <w:r>
        <w:t xml:space="preserve">As in the Simulation Example, we use</w:t>
      </w:r>
      <w:r>
        <w:t xml:space="preserve"> </w:t>
      </w:r>
      <w:r>
        <w:rPr>
          <w:rStyle w:val="VerbatimChar"/>
        </w:rPr>
        <w:t xml:space="preserve">{modelbased}</w:t>
      </w:r>
      <w:r>
        <w:t xml:space="preserve">’s</w:t>
      </w:r>
      <w:r>
        <w:t xml:space="preserve"> </w:t>
      </w:r>
      <w:r>
        <w:rPr>
          <w:rStyle w:val="VerbatimChar"/>
        </w:rPr>
        <w:t xml:space="preserve">estimate_means()</w:t>
      </w:r>
      <w:r>
        <w:t xml:space="preserve"> </w:t>
      </w:r>
      <w:r>
        <w:t xml:space="preserve">and</w:t>
      </w:r>
      <w:r>
        <w:t xml:space="preserve"> </w:t>
      </w:r>
      <w:r>
        <w:rPr>
          <w:rStyle w:val="VerbatimChar"/>
        </w:rPr>
        <w:t xml:space="preserve">estimate_contrasts()</w:t>
      </w:r>
      <w:r>
        <w:t xml:space="preserve"> </w:t>
      </w:r>
      <w:r>
        <w:t xml:space="preserve">to obtain condition-specific posterior estimates and contrasts, rather than computing them by hand from the raw posterior draws. Because this model has thousands of posterior draws and a large number of by-participant and by-item random effects, we set</w:t>
      </w:r>
      <w:r>
        <w:t xml:space="preserve"> </w:t>
      </w:r>
      <w:r>
        <w:rPr>
          <w:rStyle w:val="VerbatimChar"/>
        </w:rPr>
        <w:t xml:space="preserve">backend = "emmeans"</w:t>
      </w:r>
      <w:r>
        <w:t xml:space="preserve"> </w:t>
      </w:r>
      <w:r>
        <w:t xml:space="preserve">(instead of the default</w:t>
      </w:r>
      <w:r>
        <w:t xml:space="preserve"> </w:t>
      </w:r>
      <w:r>
        <w:rPr>
          <w:rStyle w:val="VerbatimChar"/>
        </w:rPr>
        <w:t xml:space="preserve">marginaleffects</w:t>
      </w:r>
      <w:r>
        <w:t xml:space="preserve"> </w:t>
      </w:r>
      <w:r>
        <w:t xml:space="preserve">backend) to keep the marginal computations memory-efficient.</w:t>
      </w:r>
    </w:p>
    <w:bookmarkStart w:id="74" w:name="tbl-real-means"/>
    <w:p>
      <w:pPr>
        <w:pStyle w:val="FigureTitle"/>
      </w:pPr>
      <w:r>
        <w:t xml:space="preserve">Table 8</w:t>
      </w:r>
    </w:p>
    <w:p>
      <w:pPr>
        <w:pStyle w:val="Caption"/>
      </w:pPr>
      <w:r>
        <w:t xml:space="preserve">Estimated Gaussian-location (</w:t>
      </w:r>
      <m:oMath>
        <m:r>
          <m:t>μ</m:t>
        </m:r>
      </m:oMath>
      <w:r>
        <w:t xml:space="preserve">) and exponential (</w:t>
      </w:r>
      <m:oMath>
        <m:r>
          <m:t>τ</m:t>
        </m:r>
      </m:oMath>
      <w:r>
        <w:t xml:space="preserve">) parameters by condition and prime duration for Experiment 1 from</w:t>
      </w:r>
      <w:r>
        <w:t xml:space="preserve"> </w:t>
      </w:r>
      <w:r>
        <w:t xml:space="preserve">Angele et al. (</w:t>
      </w:r>
      <w:hyperlink w:anchor="ref-angele2023">
        <w:r>
          <w:rPr>
            <w:rStyle w:val="Hyperlink"/>
          </w:rPr>
          <w:t xml:space="preserve">2023</w:t>
        </w:r>
      </w:hyperlink>
      <w:r>
        <w:t xml:space="preserve">)</w:t>
      </w:r>
      <w:r>
        <w:t xml:space="preserve"> </w:t>
      </w:r>
      <w:r>
        <w:t xml:space="preserve">under the classical model.</w:t>
      </w:r>
    </w:p>
    <w:tbl>
      <w:tblPr>
        <w:tblStyle w:val="Table"/>
        <w:tblW w:type="pct" w:w="4375"/>
        <w:tblLayout w:type="fixed"/>
        <w:tblLook w:firstRow="1" w:lastRow="0" w:firstColumn="0" w:lastColumn="0" w:noHBand="0" w:noVBand="0" w:val="0020"/>
      </w:tblPr>
      <w:tblGrid>
        <w:gridCol w:w="1320"/>
        <w:gridCol w:w="1760"/>
        <w:gridCol w:w="1320"/>
        <w:gridCol w:w="2530"/>
      </w:tblGrid>
      <w:tr>
        <w:trPr>
          <w:tblHeader w:val="on"/>
        </w:trPr>
        <w:tc>
          <w:tcPr/>
          <w:p>
            <w:pPr>
              <w:pStyle w:val="Compact"/>
            </w:pPr>
            <w:r>
              <w:t xml:space="preserve">Condition</w:t>
            </w:r>
          </w:p>
        </w:tc>
        <w:tc>
          <w:tcPr/>
          <w:p>
            <w:pPr>
              <w:pStyle w:val="Compact"/>
            </w:pPr>
            <w:r>
              <w:t xml:space="preserve">PrimeDuration</w:t>
            </w:r>
          </w:p>
        </w:tc>
        <w:tc>
          <w:tcPr/>
          <w:p>
            <w:pPr>
              <w:pStyle w:val="Compact"/>
            </w:pPr>
            <w:r>
              <w:t xml:space="preserve">Parameter</w:t>
            </w:r>
          </w:p>
        </w:tc>
        <w:tc>
          <w:tcPr/>
          <w:p>
            <w:pPr>
              <w:pStyle w:val="Compact"/>
            </w:pPr>
            <w:r>
              <w:t xml:space="preserve">Mean [95% CrI]</w:t>
            </w:r>
          </w:p>
        </w:tc>
      </w:tr>
      <w:tr>
        <w:tc>
          <w:tcPr/>
          <w:p>
            <w:pPr>
              <w:pStyle w:val="Compact"/>
            </w:pPr>
            <w:r>
              <w:t xml:space="preserve">Identical</w:t>
            </w:r>
          </w:p>
        </w:tc>
        <w:tc>
          <w:tcPr/>
          <w:p>
            <w:pPr>
              <w:pStyle w:val="Compact"/>
            </w:pPr>
            <w:r>
              <w:t xml:space="preserve">33 ms</w:t>
            </w:r>
          </w:p>
        </w:tc>
        <w:tc>
          <w:tcPr/>
          <w:p>
            <w:pPr>
              <w:pStyle w:val="Compact"/>
            </w:pPr>
            <w:r>
              <w:t xml:space="preserve">μ</w:t>
            </w:r>
          </w:p>
        </w:tc>
        <w:tc>
          <w:tcPr/>
          <w:p>
            <w:pPr>
              <w:pStyle w:val="Compact"/>
            </w:pPr>
            <w:r>
              <w:t xml:space="preserve">509.9 [494.7, 525.8]</w:t>
            </w:r>
          </w:p>
        </w:tc>
      </w:tr>
      <w:tr>
        <w:tc>
          <w:tcPr/>
          <w:p>
            <w:pPr>
              <w:pStyle w:val="Compact"/>
            </w:pPr>
          </w:p>
        </w:tc>
        <w:tc>
          <w:tcPr/>
          <w:p>
            <w:pPr>
              <w:pStyle w:val="Compact"/>
            </w:pPr>
          </w:p>
        </w:tc>
        <w:tc>
          <w:tcPr/>
          <w:p>
            <w:pPr>
              <w:pStyle w:val="Compact"/>
            </w:pPr>
            <w:r>
              <w:t xml:space="preserve">τ</w:t>
            </w:r>
          </w:p>
        </w:tc>
        <w:tc>
          <w:tcPr/>
          <w:p>
            <w:pPr>
              <w:pStyle w:val="Compact"/>
            </w:pPr>
            <w:r>
              <w:t xml:space="preserve">111.5 [101.5, 122.0]</w:t>
            </w:r>
          </w:p>
        </w:tc>
      </w:tr>
      <w:tr>
        <w:tc>
          <w:tcPr/>
          <w:p>
            <w:pPr>
              <w:pStyle w:val="Compact"/>
            </w:pPr>
          </w:p>
        </w:tc>
        <w:tc>
          <w:tcPr/>
          <w:p>
            <w:pPr>
              <w:pStyle w:val="Compact"/>
            </w:pPr>
            <w:r>
              <w:t xml:space="preserve">50 ms</w:t>
            </w:r>
          </w:p>
        </w:tc>
        <w:tc>
          <w:tcPr/>
          <w:p>
            <w:pPr>
              <w:pStyle w:val="Compact"/>
            </w:pPr>
            <w:r>
              <w:t xml:space="preserve">μ</w:t>
            </w:r>
          </w:p>
        </w:tc>
        <w:tc>
          <w:tcPr/>
          <w:p>
            <w:pPr>
              <w:pStyle w:val="Compact"/>
            </w:pPr>
            <w:r>
              <w:t xml:space="preserve">498.2 [482.9, 514.4]</w:t>
            </w:r>
          </w:p>
        </w:tc>
      </w:tr>
      <w:tr>
        <w:tc>
          <w:tcPr/>
          <w:p>
            <w:pPr>
              <w:pStyle w:val="Compact"/>
            </w:pPr>
          </w:p>
        </w:tc>
        <w:tc>
          <w:tcPr/>
          <w:p>
            <w:pPr>
              <w:pStyle w:val="Compact"/>
            </w:pPr>
          </w:p>
        </w:tc>
        <w:tc>
          <w:tcPr/>
          <w:p>
            <w:pPr>
              <w:pStyle w:val="Compact"/>
            </w:pPr>
            <w:r>
              <w:t xml:space="preserve">τ</w:t>
            </w:r>
          </w:p>
        </w:tc>
        <w:tc>
          <w:tcPr/>
          <w:p>
            <w:pPr>
              <w:pStyle w:val="Compact"/>
            </w:pPr>
            <w:r>
              <w:t xml:space="preserve">101.2 [90.8, 112.0]</w:t>
            </w:r>
          </w:p>
        </w:tc>
      </w:tr>
      <w:tr>
        <w:tc>
          <w:tcPr/>
          <w:p>
            <w:pPr>
              <w:pStyle w:val="Compact"/>
            </w:pPr>
            <w:r>
              <w:t xml:space="preserve">Unrelated</w:t>
            </w:r>
          </w:p>
        </w:tc>
        <w:tc>
          <w:tcPr/>
          <w:p>
            <w:pPr>
              <w:pStyle w:val="Compact"/>
            </w:pPr>
            <w:r>
              <w:t xml:space="preserve">33 ms</w:t>
            </w:r>
          </w:p>
        </w:tc>
        <w:tc>
          <w:tcPr/>
          <w:p>
            <w:pPr>
              <w:pStyle w:val="Compact"/>
            </w:pPr>
            <w:r>
              <w:t xml:space="preserve">μ</w:t>
            </w:r>
          </w:p>
        </w:tc>
        <w:tc>
          <w:tcPr/>
          <w:p>
            <w:pPr>
              <w:pStyle w:val="Compact"/>
            </w:pPr>
            <w:r>
              <w:t xml:space="preserve">529.8 [514.7, 545.6]</w:t>
            </w:r>
          </w:p>
        </w:tc>
      </w:tr>
      <w:tr>
        <w:tc>
          <w:tcPr/>
          <w:p>
            <w:pPr>
              <w:pStyle w:val="Compact"/>
            </w:pPr>
          </w:p>
        </w:tc>
        <w:tc>
          <w:tcPr/>
          <w:p>
            <w:pPr>
              <w:pStyle w:val="Compact"/>
            </w:pPr>
          </w:p>
        </w:tc>
        <w:tc>
          <w:tcPr/>
          <w:p>
            <w:pPr>
              <w:pStyle w:val="Compact"/>
            </w:pPr>
            <w:r>
              <w:t xml:space="preserve">τ</w:t>
            </w:r>
          </w:p>
        </w:tc>
        <w:tc>
          <w:tcPr/>
          <w:p>
            <w:pPr>
              <w:pStyle w:val="Compact"/>
            </w:pPr>
            <w:r>
              <w:t xml:space="preserve">113.4 [102.5, 124.8]</w:t>
            </w:r>
          </w:p>
        </w:tc>
      </w:tr>
      <w:tr>
        <w:tc>
          <w:tcPr/>
          <w:p>
            <w:pPr>
              <w:pStyle w:val="Compact"/>
            </w:pPr>
          </w:p>
        </w:tc>
        <w:tc>
          <w:tcPr/>
          <w:p>
            <w:pPr>
              <w:pStyle w:val="Compact"/>
            </w:pPr>
            <w:r>
              <w:t xml:space="preserve">50 ms</w:t>
            </w:r>
          </w:p>
        </w:tc>
        <w:tc>
          <w:tcPr/>
          <w:p>
            <w:pPr>
              <w:pStyle w:val="Compact"/>
            </w:pPr>
            <w:r>
              <w:t xml:space="preserve">μ</w:t>
            </w:r>
          </w:p>
        </w:tc>
        <w:tc>
          <w:tcPr/>
          <w:p>
            <w:pPr>
              <w:pStyle w:val="Compact"/>
            </w:pPr>
            <w:r>
              <w:t xml:space="preserve">535.3 [520.3, 551.0]</w:t>
            </w:r>
          </w:p>
        </w:tc>
      </w:tr>
      <w:tr>
        <w:tc>
          <w:tcPr/>
          <w:p>
            <w:pPr>
              <w:pStyle w:val="Compact"/>
            </w:pPr>
          </w:p>
        </w:tc>
        <w:tc>
          <w:tcPr/>
          <w:p>
            <w:pPr>
              <w:pStyle w:val="Compact"/>
            </w:pPr>
          </w:p>
        </w:tc>
        <w:tc>
          <w:tcPr/>
          <w:p>
            <w:pPr>
              <w:pStyle w:val="Compact"/>
            </w:pPr>
            <w:r>
              <w:t xml:space="preserve">τ</w:t>
            </w:r>
          </w:p>
        </w:tc>
        <w:tc>
          <w:tcPr/>
          <w:p>
            <w:pPr>
              <w:pStyle w:val="Compact"/>
            </w:pPr>
            <w:r>
              <w:t xml:space="preserve">105.3 [95.0, 116.0]</w:t>
            </w:r>
          </w:p>
        </w:tc>
      </w:tr>
    </w:tbl>
    <w:bookmarkEnd w:id="74"/>
    <w:p>
      <w:pPr>
        <w:pStyle w:val="AfterWithoutNote"/>
      </w:pPr>
      <w:hyperlink w:anchor="tbl-real-means">
        <w:r>
          <w:rPr>
            <w:rStyle w:val="Hyperlink"/>
          </w:rPr>
          <w:t xml:space="preserve">Table 8</w:t>
        </w:r>
      </w:hyperlink>
      <w:r>
        <w:t xml:space="preserve"> </w:t>
      </w:r>
      <w:r>
        <w:t xml:space="preserve">displays the estimated posterior means for</w:t>
      </w:r>
      <w:r>
        <w:t xml:space="preserve"> </w:t>
      </w:r>
      <m:oMath>
        <m:r>
          <m:t>μ</m:t>
        </m:r>
      </m:oMath>
      <w:r>
        <w:t xml:space="preserve"> </w:t>
      </w:r>
      <w:r>
        <w:t xml:space="preserve">and</w:t>
      </w:r>
      <w:r>
        <w:t xml:space="preserve"> </w:t>
      </w:r>
      <m:oMath>
        <m:r>
          <m:t>τ</m:t>
        </m:r>
      </m:oMath>
      <w:r>
        <w:t xml:space="preserve"> </w:t>
      </w:r>
      <w:r>
        <w:t xml:space="preserve">across priming conditions and exposure durations.</w:t>
      </w:r>
      <w:r>
        <w:t xml:space="preserve"> </w:t>
      </w:r>
      <w:hyperlink w:anchor="tbl-real-contrasts">
        <w:r>
          <w:rPr>
            <w:rStyle w:val="Hyperlink"/>
          </w:rPr>
          <w:t xml:space="preserve">Table 9</w:t>
        </w:r>
      </w:hyperlink>
      <w:r>
        <w:t xml:space="preserve"> </w:t>
      </w:r>
      <w:r>
        <w:t xml:space="preserve">below presents the model’s population-level effects (main effect of relatedness, main effect of prime duration, and their interaction) alongside simple priming contrasts (Unrelated minus Identical) at each prime duration, for both parameters side by side.</w:t>
      </w:r>
    </w:p>
    <w:bookmarkStart w:id="75" w:name="tbl-real-contrasts"/>
    <w:p>
      <w:pPr>
        <w:pStyle w:val="FigureTitle"/>
      </w:pPr>
      <w:r>
        <w:t xml:space="preserve">Table 9</w:t>
      </w:r>
    </w:p>
    <w:p>
      <w:pPr>
        <w:pStyle w:val="Caption"/>
      </w:pPr>
      <w:r>
        <w:t xml:space="preserve">Fixed effects and priming contrasts in the Gaussian-location (</w:t>
      </w:r>
      <m:oMath>
        <m:r>
          <m:t>μ</m:t>
        </m:r>
      </m:oMath>
      <w:r>
        <w:t xml:space="preserve">) and exponential (</w:t>
      </w:r>
      <m:oMath>
        <m:r>
          <m:t>τ</m:t>
        </m:r>
      </m:oMath>
      <w:r>
        <w:t xml:space="preserve">) parameters for Experiment 1 from</w:t>
      </w:r>
      <w:r>
        <w:t xml:space="preserve"> </w:t>
      </w:r>
      <w:r>
        <w:t xml:space="preserve">Angele et al. (</w:t>
      </w:r>
      <w:hyperlink w:anchor="ref-angele2023">
        <w:r>
          <w:rPr>
            <w:rStyle w:val="Hyperlink"/>
          </w:rPr>
          <w:t xml:space="preserve">2023</w:t>
        </w:r>
      </w:hyperlink>
      <w:r>
        <w:t xml:space="preserve">)</w:t>
      </w:r>
      <w:r>
        <w:t xml:space="preserve"> </w:t>
      </w:r>
      <w:r>
        <w:t xml:space="preserve">under the classical model, alongside the default-brms E(RT) effects as originally reported by</w:t>
      </w:r>
      <w:r>
        <w:t xml:space="preserve"> </w:t>
      </w:r>
      <w:r>
        <w:t xml:space="preserve">Angele et al. (</w:t>
      </w:r>
      <w:hyperlink w:anchor="ref-angele2023">
        <w:r>
          <w:rPr>
            <w:rStyle w:val="Hyperlink"/>
          </w:rPr>
          <w:t xml:space="preserve">2023</w:t>
        </w:r>
      </w:hyperlink>
      <w:r>
        <w:t xml:space="preserve">)</w:t>
      </w:r>
      <w:r>
        <w:t xml:space="preserve">. All estimates are in milliseconds and reflect Unrelated minus Identical (or 50 ms minus 33 ms) differences; pd is the probability of direction.</w:t>
      </w:r>
    </w:p>
    <w:tbl>
      <w:tblPr>
        <w:tblStyle w:val="Table"/>
        <w:tblW w:type="pct" w:w="4845"/>
        <w:tblLayout w:type="fixed"/>
        <w:tblLook w:firstRow="1" w:lastRow="0" w:firstColumn="0" w:lastColumn="0" w:noHBand="0" w:noVBand="0" w:val="0020"/>
      </w:tblPr>
      <w:tblGrid>
        <w:gridCol w:w="2367"/>
        <w:gridCol w:w="1796"/>
        <w:gridCol w:w="979"/>
        <w:gridCol w:w="1877"/>
        <w:gridCol w:w="653"/>
      </w:tblGrid>
      <w:tr>
        <w:trPr>
          <w:tblHeader w:val="on"/>
        </w:trPr>
        <w:tc>
          <w:tcPr/>
          <w:p>
            <w:pPr>
              <w:pStyle w:val="Compact"/>
            </w:pPr>
            <w:r>
              <w:t xml:space="preserve">Effect</w:t>
            </w:r>
          </w:p>
        </w:tc>
        <w:tc>
          <w:tcPr/>
          <w:p>
            <w:pPr>
              <w:pStyle w:val="Compact"/>
            </w:pPr>
            <w:r>
              <w:t xml:space="preserve">Default brms E(RT)</w:t>
            </w:r>
          </w:p>
        </w:tc>
        <w:tc>
          <w:tcPr/>
          <w:p>
            <w:pPr>
              <w:pStyle w:val="Compact"/>
            </w:pPr>
            <w:r>
              <w:t xml:space="preserve">Parameter</w:t>
            </w:r>
          </w:p>
        </w:tc>
        <w:tc>
          <w:tcPr/>
          <w:p>
            <w:pPr>
              <w:pStyle w:val="Compact"/>
            </w:pPr>
            <w:r>
              <w:t xml:space="preserve">Mean [95% CrI]</w:t>
            </w:r>
          </w:p>
        </w:tc>
        <w:tc>
          <w:tcPr/>
          <w:p>
            <w:pPr>
              <w:pStyle w:val="Compact"/>
            </w:pPr>
            <w:r>
              <w:t xml:space="preserve">pd</w:t>
            </w:r>
          </w:p>
        </w:tc>
      </w:tr>
      <w:tr>
        <w:tc>
          <w:tcPr/>
          <w:p>
            <w:pPr>
              <w:pStyle w:val="Compact"/>
            </w:pPr>
            <w:r>
              <w:t xml:space="preserve">Main Effect of Relatedness</w:t>
            </w:r>
          </w:p>
        </w:tc>
        <w:tc>
          <w:tcPr/>
          <w:p>
            <w:pPr>
              <w:pStyle w:val="Compact"/>
            </w:pPr>
            <w:r>
              <w:t xml:space="preserve">31.5 [27.7, 35.3]</w:t>
            </w:r>
          </w:p>
        </w:tc>
        <w:tc>
          <w:tcPr/>
          <w:p>
            <w:pPr>
              <w:pStyle w:val="Compact"/>
            </w:pPr>
            <w:r>
              <w:t xml:space="preserve">μ</w:t>
            </w:r>
          </w:p>
        </w:tc>
        <w:tc>
          <w:tcPr/>
          <w:p>
            <w:pPr>
              <w:pStyle w:val="Compact"/>
            </w:pPr>
            <w:r>
              <w:t xml:space="preserve">-28.5 [-32.3, -24.7]</w:t>
            </w:r>
          </w:p>
        </w:tc>
        <w:tc>
          <w:tcPr/>
          <w:p>
            <w:pPr>
              <w:pStyle w:val="Compact"/>
            </w:pPr>
            <w:r>
              <w:t xml:space="preserve">1.000</w:t>
            </w:r>
          </w:p>
        </w:tc>
      </w:tr>
      <w:tr>
        <w:tc>
          <w:tcPr/>
          <w:p>
            <w:pPr>
              <w:pStyle w:val="Compact"/>
            </w:pPr>
            <w:r>
              <w:t xml:space="preserve">Main Effect of Relatedness</w:t>
            </w:r>
          </w:p>
        </w:tc>
        <w:tc>
          <w:tcPr/>
          <w:p>
            <w:pPr>
              <w:pStyle w:val="Compact"/>
            </w:pPr>
          </w:p>
        </w:tc>
        <w:tc>
          <w:tcPr/>
          <w:p>
            <w:pPr>
              <w:pStyle w:val="Compact"/>
            </w:pPr>
            <w:r>
              <w:t xml:space="preserve">τ</w:t>
            </w:r>
          </w:p>
        </w:tc>
        <w:tc>
          <w:tcPr/>
          <w:p>
            <w:pPr>
              <w:pStyle w:val="Compact"/>
            </w:pPr>
            <w:r>
              <w:t xml:space="preserve">-3.1 [-8.0, 1.9]</w:t>
            </w:r>
          </w:p>
        </w:tc>
        <w:tc>
          <w:tcPr/>
          <w:p>
            <w:pPr>
              <w:pStyle w:val="Compact"/>
            </w:pPr>
            <w:r>
              <w:t xml:space="preserve">0.889</w:t>
            </w:r>
          </w:p>
        </w:tc>
      </w:tr>
      <w:tr>
        <w:tc>
          <w:tcPr/>
          <w:p>
            <w:pPr>
              <w:pStyle w:val="Compact"/>
            </w:pPr>
            <w:r>
              <w:t xml:space="preserve">Main Effect of Duration</w:t>
            </w:r>
          </w:p>
        </w:tc>
        <w:tc>
          <w:tcPr/>
          <w:p>
            <w:pPr>
              <w:pStyle w:val="Compact"/>
            </w:pPr>
            <w:r>
              <w:t xml:space="preserve">-10.9 [-14.5, -7.3]</w:t>
            </w:r>
          </w:p>
        </w:tc>
        <w:tc>
          <w:tcPr/>
          <w:p>
            <w:pPr>
              <w:pStyle w:val="Compact"/>
            </w:pPr>
            <w:r>
              <w:t xml:space="preserve">μ</w:t>
            </w:r>
          </w:p>
        </w:tc>
        <w:tc>
          <w:tcPr/>
          <w:p>
            <w:pPr>
              <w:pStyle w:val="Compact"/>
            </w:pPr>
            <w:r>
              <w:t xml:space="preserve">3.1 [-0.2, 6.4]</w:t>
            </w:r>
          </w:p>
        </w:tc>
        <w:tc>
          <w:tcPr/>
          <w:p>
            <w:pPr>
              <w:pStyle w:val="Compact"/>
            </w:pPr>
            <w:r>
              <w:t xml:space="preserve">0.969</w:t>
            </w:r>
          </w:p>
        </w:tc>
      </w:tr>
      <w:tr>
        <w:tc>
          <w:tcPr/>
          <w:p>
            <w:pPr>
              <w:pStyle w:val="Compact"/>
            </w:pPr>
            <w:r>
              <w:t xml:space="preserve">Main Effect of Duration</w:t>
            </w:r>
          </w:p>
        </w:tc>
        <w:tc>
          <w:tcPr/>
          <w:p>
            <w:pPr>
              <w:pStyle w:val="Compact"/>
            </w:pPr>
          </w:p>
        </w:tc>
        <w:tc>
          <w:tcPr/>
          <w:p>
            <w:pPr>
              <w:pStyle w:val="Compact"/>
            </w:pPr>
            <w:r>
              <w:t xml:space="preserve">τ</w:t>
            </w:r>
          </w:p>
        </w:tc>
        <w:tc>
          <w:tcPr/>
          <w:p>
            <w:pPr>
              <w:pStyle w:val="Compact"/>
            </w:pPr>
            <w:r>
              <w:t xml:space="preserve">9.2 [3.7, 14.8]</w:t>
            </w:r>
          </w:p>
        </w:tc>
        <w:tc>
          <w:tcPr/>
          <w:p>
            <w:pPr>
              <w:pStyle w:val="Compact"/>
            </w:pPr>
            <w:r>
              <w:t xml:space="preserve">0.999</w:t>
            </w:r>
          </w:p>
        </w:tc>
      </w:tr>
      <w:tr>
        <w:tc>
          <w:tcPr/>
          <w:p>
            <w:pPr>
              <w:pStyle w:val="Compact"/>
            </w:pPr>
            <w:r>
              <w:t xml:space="preserve">Relatedness × Duration</w:t>
            </w:r>
          </w:p>
        </w:tc>
        <w:tc>
          <w:tcPr/>
          <w:p>
            <w:pPr>
              <w:pStyle w:val="Compact"/>
            </w:pPr>
            <w:r>
              <w:t xml:space="preserve">19.3 [12.6, 26.0]</w:t>
            </w:r>
          </w:p>
        </w:tc>
        <w:tc>
          <w:tcPr/>
          <w:p>
            <w:pPr>
              <w:pStyle w:val="Compact"/>
            </w:pPr>
            <w:r>
              <w:t xml:space="preserve">μ</w:t>
            </w:r>
          </w:p>
        </w:tc>
        <w:tc>
          <w:tcPr/>
          <w:p>
            <w:pPr>
              <w:pStyle w:val="Compact"/>
            </w:pPr>
            <w:r>
              <w:t xml:space="preserve">17.1 [10.5, 23.8]</w:t>
            </w:r>
          </w:p>
        </w:tc>
        <w:tc>
          <w:tcPr/>
          <w:p>
            <w:pPr>
              <w:pStyle w:val="Compact"/>
            </w:pPr>
            <w:r>
              <w:t xml:space="preserve">1.000</w:t>
            </w:r>
          </w:p>
        </w:tc>
      </w:tr>
      <w:tr>
        <w:tc>
          <w:tcPr/>
          <w:p>
            <w:pPr>
              <w:pStyle w:val="Compact"/>
            </w:pPr>
            <w:r>
              <w:t xml:space="preserve">Relatedness × Duration</w:t>
            </w:r>
          </w:p>
        </w:tc>
        <w:tc>
          <w:tcPr/>
          <w:p>
            <w:pPr>
              <w:pStyle w:val="Compact"/>
            </w:pPr>
          </w:p>
        </w:tc>
        <w:tc>
          <w:tcPr/>
          <w:p>
            <w:pPr>
              <w:pStyle w:val="Compact"/>
            </w:pPr>
            <w:r>
              <w:t xml:space="preserve">τ</w:t>
            </w:r>
          </w:p>
        </w:tc>
        <w:tc>
          <w:tcPr/>
          <w:p>
            <w:pPr>
              <w:pStyle w:val="Compact"/>
            </w:pPr>
            <w:r>
              <w:t xml:space="preserve">2.2 [-8.4, 12.6]</w:t>
            </w:r>
          </w:p>
        </w:tc>
        <w:tc>
          <w:tcPr/>
          <w:p>
            <w:pPr>
              <w:pStyle w:val="Compact"/>
            </w:pPr>
            <w:r>
              <w:t xml:space="preserve">0.658</w:t>
            </w:r>
          </w:p>
        </w:tc>
      </w:tr>
      <w:tr>
        <w:tc>
          <w:tcPr/>
          <w:p>
            <w:pPr>
              <w:pStyle w:val="Compact"/>
            </w:pPr>
            <w:r>
              <w:t xml:space="preserve">Priming Effect at 33 ms</w:t>
            </w:r>
          </w:p>
        </w:tc>
        <w:tc>
          <w:tcPr/>
          <w:p>
            <w:pPr>
              <w:pStyle w:val="Compact"/>
            </w:pPr>
            <w:r>
              <w:t xml:space="preserve">~22.0</w:t>
            </w:r>
          </w:p>
        </w:tc>
        <w:tc>
          <w:tcPr/>
          <w:p>
            <w:pPr>
              <w:pStyle w:val="Compact"/>
            </w:pPr>
            <w:r>
              <w:t xml:space="preserve">μ</w:t>
            </w:r>
          </w:p>
        </w:tc>
        <w:tc>
          <w:tcPr/>
          <w:p>
            <w:pPr>
              <w:pStyle w:val="Compact"/>
            </w:pPr>
            <w:r>
              <w:t xml:space="preserve">-20.0 [-25.0, -15.0]</w:t>
            </w:r>
          </w:p>
        </w:tc>
        <w:tc>
          <w:tcPr/>
          <w:p>
            <w:pPr>
              <w:pStyle w:val="Compact"/>
            </w:pPr>
            <w:r>
              <w:t xml:space="preserve">1.000</w:t>
            </w:r>
          </w:p>
        </w:tc>
      </w:tr>
      <w:tr>
        <w:tc>
          <w:tcPr/>
          <w:p>
            <w:pPr>
              <w:pStyle w:val="Compact"/>
            </w:pPr>
            <w:r>
              <w:t xml:space="preserve">Priming Effect at 33 ms</w:t>
            </w:r>
          </w:p>
        </w:tc>
        <w:tc>
          <w:tcPr/>
          <w:p>
            <w:pPr>
              <w:pStyle w:val="Compact"/>
            </w:pPr>
          </w:p>
        </w:tc>
        <w:tc>
          <w:tcPr/>
          <w:p>
            <w:pPr>
              <w:pStyle w:val="Compact"/>
            </w:pPr>
            <w:r>
              <w:t xml:space="preserve">τ</w:t>
            </w:r>
          </w:p>
        </w:tc>
        <w:tc>
          <w:tcPr/>
          <w:p>
            <w:pPr>
              <w:pStyle w:val="Compact"/>
            </w:pPr>
            <w:r>
              <w:t xml:space="preserve">-1.9 [-9.3, 5.3]</w:t>
            </w:r>
          </w:p>
        </w:tc>
        <w:tc>
          <w:tcPr/>
          <w:p>
            <w:pPr>
              <w:pStyle w:val="Compact"/>
            </w:pPr>
            <w:r>
              <w:t xml:space="preserve">0.699</w:t>
            </w:r>
          </w:p>
        </w:tc>
      </w:tr>
      <w:tr>
        <w:tc>
          <w:tcPr/>
          <w:p>
            <w:pPr>
              <w:pStyle w:val="Compact"/>
            </w:pPr>
            <w:r>
              <w:t xml:space="preserve">Priming Effect at 50 ms</w:t>
            </w:r>
          </w:p>
        </w:tc>
        <w:tc>
          <w:tcPr/>
          <w:p>
            <w:pPr>
              <w:pStyle w:val="Compact"/>
            </w:pPr>
            <w:r>
              <w:t xml:space="preserve">~41.0</w:t>
            </w:r>
          </w:p>
        </w:tc>
        <w:tc>
          <w:tcPr/>
          <w:p>
            <w:pPr>
              <w:pStyle w:val="Compact"/>
            </w:pPr>
            <w:r>
              <w:t xml:space="preserve">μ</w:t>
            </w:r>
          </w:p>
        </w:tc>
        <w:tc>
          <w:tcPr/>
          <w:p>
            <w:pPr>
              <w:pStyle w:val="Compact"/>
            </w:pPr>
            <w:r>
              <w:t xml:space="preserve">-37.1 [-42.1, -31.9]</w:t>
            </w:r>
          </w:p>
        </w:tc>
        <w:tc>
          <w:tcPr/>
          <w:p>
            <w:pPr>
              <w:pStyle w:val="Compact"/>
            </w:pPr>
            <w:r>
              <w:t xml:space="preserve">1.000</w:t>
            </w:r>
          </w:p>
        </w:tc>
      </w:tr>
      <w:tr>
        <w:tc>
          <w:tcPr/>
          <w:p>
            <w:pPr>
              <w:pStyle w:val="Compact"/>
            </w:pPr>
            <w:r>
              <w:t xml:space="preserve">Priming Effect at 50 ms</w:t>
            </w:r>
          </w:p>
        </w:tc>
        <w:tc>
          <w:tcPr/>
          <w:p>
            <w:pPr>
              <w:pStyle w:val="Compact"/>
            </w:pPr>
          </w:p>
        </w:tc>
        <w:tc>
          <w:tcPr/>
          <w:p>
            <w:pPr>
              <w:pStyle w:val="Compact"/>
            </w:pPr>
            <w:r>
              <w:t xml:space="preserve">τ</w:t>
            </w:r>
          </w:p>
        </w:tc>
        <w:tc>
          <w:tcPr/>
          <w:p>
            <w:pPr>
              <w:pStyle w:val="Compact"/>
            </w:pPr>
            <w:r>
              <w:t xml:space="preserve">-4.1 [-11.2, 3.2]</w:t>
            </w:r>
          </w:p>
        </w:tc>
        <w:tc>
          <w:tcPr/>
          <w:p>
            <w:pPr>
              <w:pStyle w:val="Compact"/>
            </w:pPr>
            <w:r>
              <w:t xml:space="preserve">0.865</w:t>
            </w:r>
          </w:p>
        </w:tc>
      </w:tr>
    </w:tbl>
    <w:bookmarkEnd w:id="75"/>
    <w:p>
      <w:pPr>
        <w:pStyle w:val="AfterWithoutNote"/>
      </w:pPr>
      <w:r>
        <w:t xml:space="preserve">As shown in</w:t>
      </w:r>
      <w:r>
        <w:t xml:space="preserve"> </w:t>
      </w:r>
      <w:hyperlink w:anchor="tbl-real-contrasts">
        <w:r>
          <w:rPr>
            <w:rStyle w:val="Hyperlink"/>
          </w:rPr>
          <w:t xml:space="preserve">Table 9</w:t>
        </w:r>
      </w:hyperlink>
      <w:r>
        <w:t xml:space="preserve">, under the classical parameterization, the true Gaussian location</w:t>
      </w:r>
      <w:r>
        <w:t xml:space="preserve"> </w:t>
      </w:r>
      <m:oMath>
        <m:r>
          <m:t>μ</m:t>
        </m:r>
      </m:oMath>
      <w:r>
        <w:t xml:space="preserve"> </w:t>
      </w:r>
      <w:r>
        <w:t xml:space="preserve">shows a robust overall main effect of relatedness (-28.5 ms, 95% CrI [-32.3, -24.7], pd = 1.000). Unlike the effect reported as</w:t>
      </w:r>
      <w:r>
        <w:t xml:space="preserve"> </w:t>
      </w:r>
      <m:oMath>
        <m:r>
          <m:t>μ</m:t>
        </m:r>
      </m:oMath>
      <w:r>
        <w:t xml:space="preserve"> </w:t>
      </w:r>
      <w:r>
        <w:t xml:space="preserve">under the default parameterization, the main effect of prime duration on</w:t>
      </w:r>
      <w:r>
        <w:t xml:space="preserve"> </w:t>
      </w:r>
      <m:oMath>
        <m:r>
          <m:t>μ</m:t>
        </m:r>
      </m:oMath>
      <w:r>
        <w:t xml:space="preserve"> </w:t>
      </w:r>
      <w:r>
        <w:t xml:space="preserve">is non-credible under the classical parameterization (3.1 ms, 95% CrI [-0.2, 6.4], pd = 0.969, with the 95% CrI narrowly containing zero). The model also reveals a credible interaction between relatedness and prime duration (17.1 ms, 95% CrI [10.5, 23.8], pd = 1.000), indicating that the priming effect on</w:t>
      </w:r>
      <w:r>
        <w:t xml:space="preserve"> </w:t>
      </w:r>
      <m:oMath>
        <m:r>
          <m:t>μ</m:t>
        </m:r>
      </m:oMath>
      <w:r>
        <w:t xml:space="preserve"> </w:t>
      </w:r>
      <w:r>
        <w:t xml:space="preserve">was larger at 50 ms (-37.1 ms, 95% CrI [-42.1, -31.9], pd = 1.000) than at 33 ms (-20.0 ms, 95% CrI [-25.0, -15.0], pd = 1.000).</w:t>
      </w:r>
    </w:p>
    <w:p>
      <w:pPr>
        <w:pStyle w:val="BodyText"/>
      </w:pPr>
      <w:r>
        <w:t xml:space="preserve">For the exponential component</w:t>
      </w:r>
      <w:r>
        <w:t xml:space="preserve"> </w:t>
      </w:r>
      <m:oMath>
        <m:r>
          <m:t>τ</m:t>
        </m:r>
      </m:oMath>
      <w:r>
        <w:t xml:space="preserve">, the main effect of relatedness is small and non-credible (-3.1 ms, 95% CrI [-8.0, 1.9], pd = 0.889), as is the interaction term (2.2 ms, 95% CrI [-8.4, 12.6], pd = 0.658). Consequently, the priming effect (i.e., the difference between related and unrelated prime conditions) on</w:t>
      </w:r>
      <w:r>
        <w:t xml:space="preserve"> </w:t>
      </w:r>
      <m:oMath>
        <m:r>
          <m:t>τ</m:t>
        </m:r>
      </m:oMath>
      <w:r>
        <w:t xml:space="preserve"> </w:t>
      </w:r>
      <w:r>
        <w:t xml:space="preserve">is non-credible at 33 ms (-1.9 ms, 95% CrI [-9.3, 5.3], pd = 0.699) and 50 ms (-4.1 ms, 95% CrI [-11.2, 3.2], pd = 0.865), consistent with Forster’s</w:t>
      </w:r>
      <w:r>
        <w:t xml:space="preserve"> </w:t>
      </w:r>
      <w:r>
        <w:t xml:space="preserve">(</w:t>
      </w:r>
      <w:hyperlink w:anchor="ref-forster1998pros">
        <w:r>
          <w:rPr>
            <w:rStyle w:val="Hyperlink"/>
          </w:rPr>
          <w:t xml:space="preserve">1998</w:t>
        </w:r>
      </w:hyperlink>
      <w:r>
        <w:t xml:space="preserve">)</w:t>
      </w:r>
      <w:r>
        <w:t xml:space="preserve"> </w:t>
      </w:r>
      <w:r>
        <w:t xml:space="preserve">savings hypothesis that would expect such an effect to show in</w:t>
      </w:r>
      <w:r>
        <w:t xml:space="preserve"> </w:t>
      </w:r>
      <m:oMath>
        <m:r>
          <m:t>μ</m:t>
        </m:r>
      </m:oMath>
      <w:r>
        <w:t xml:space="preserve"> </w:t>
      </w:r>
      <w:r>
        <w:t xml:space="preserve">rather than in</w:t>
      </w:r>
      <w:r>
        <w:t xml:space="preserve"> </w:t>
      </w:r>
      <m:oMath>
        <m:r>
          <m:t>τ</m:t>
        </m:r>
      </m:oMath>
      <w:r>
        <w:t xml:space="preserve">. However, the model reveals a credible main effect of prime duration on</w:t>
      </w:r>
      <w:r>
        <w:t xml:space="preserve"> </w:t>
      </w:r>
      <m:oMath>
        <m:r>
          <m:t>τ</m:t>
        </m:r>
      </m:oMath>
      <w:r>
        <w:t xml:space="preserve"> </w:t>
      </w:r>
      <w:r>
        <w:t xml:space="preserve">(9.2 ms, 95% CrI [3.7, 14.8], pd = 0.999), showing that increasing prime duration from 33 ms to 50 ms moderately shortened the right tail.</w:t>
      </w:r>
    </w:p>
    <w:bookmarkEnd w:id="76"/>
    <w:bookmarkStart w:id="77" w:name="comparison-with-angele-et-al.-2023"/>
    <w:p>
      <w:pPr>
        <w:pStyle w:val="Heading2"/>
      </w:pPr>
      <w:r>
        <w:t xml:space="preserve">Comparison with Angele et al. (2023)</w:t>
      </w:r>
    </w:p>
    <w:p>
      <w:pPr>
        <w:pStyle w:val="FirstParagraph"/>
      </w:pPr>
      <w:r>
        <w:t xml:space="preserve">Comparing these classical ex-Gaussian estimates with those originally reported by</w:t>
      </w:r>
      <w:r>
        <w:t xml:space="preserve"> </w:t>
      </w:r>
      <w:r>
        <w:t xml:space="preserve">Angele et al. (</w:t>
      </w:r>
      <w:hyperlink w:anchor="ref-angele2023">
        <w:r>
          <w:rPr>
            <w:rStyle w:val="Hyperlink"/>
          </w:rPr>
          <w:t xml:space="preserve">2023</w:t>
        </w:r>
      </w:hyperlink>
      <w:r>
        <w:t xml:space="preserve">)</w:t>
      </w:r>
      <w:r>
        <w:t xml:space="preserve"> </w:t>
      </w:r>
      <w:r>
        <w:t xml:space="preserve">(the</w:t>
      </w:r>
      <w:r>
        <w:t xml:space="preserve"> </w:t>
      </w:r>
      <w:r>
        <w:t xml:space="preserve">“Default brms E(RT)”</w:t>
      </w:r>
      <w:r>
        <w:t xml:space="preserve"> </w:t>
      </w:r>
      <w:r>
        <w:t xml:space="preserve">column of</w:t>
      </w:r>
      <w:r>
        <w:t xml:space="preserve"> </w:t>
      </w:r>
      <w:hyperlink w:anchor="tbl-real-contrasts">
        <w:r>
          <w:rPr>
            <w:rStyle w:val="Hyperlink"/>
          </w:rPr>
          <w:t xml:space="preserve">Table 9</w:t>
        </w:r>
      </w:hyperlink>
      <w:r>
        <w:t xml:space="preserve">) highlights the practical consequences of model parameterization for theoretical inferences.</w:t>
      </w:r>
    </w:p>
    <w:p>
      <w:pPr>
        <w:numPr>
          <w:ilvl w:val="0"/>
          <w:numId w:val="1001"/>
        </w:numPr>
      </w:pPr>
      <w:r>
        <w:rPr>
          <w:i/>
          <w:iCs/>
        </w:rPr>
        <w:t xml:space="preserve">Parameter Interpretation</w:t>
      </w:r>
      <w:r>
        <w:t xml:space="preserve">.</w:t>
      </w:r>
      <w:r>
        <w:t xml:space="preserve"> </w:t>
      </w:r>
      <w:r>
        <w:t xml:space="preserve">Angele et al. (</w:t>
      </w:r>
      <w:hyperlink w:anchor="ref-angele2023">
        <w:r>
          <w:rPr>
            <w:rStyle w:val="Hyperlink"/>
          </w:rPr>
          <w:t xml:space="preserve">2023</w:t>
        </w:r>
      </w:hyperlink>
      <w:r>
        <w:t xml:space="preserve">)</w:t>
      </w:r>
      <w:r>
        <w:t xml:space="preserve"> </w:t>
      </w:r>
      <w:r>
        <w:t xml:space="preserve">reported fixed effects for relatedness, prime duration, and their interaction from default {brms} under the assumption that</w:t>
      </w:r>
      <w:r>
        <w:t xml:space="preserve"> </w:t>
      </w:r>
      <w:r>
        <w:rPr>
          <w:rStyle w:val="VerbatimChar"/>
        </w:rPr>
        <w:t xml:space="preserve">mu</w:t>
      </w:r>
      <w:r>
        <w:t xml:space="preserve"> </w:t>
      </w:r>
      <w:r>
        <w:t xml:space="preserve">represented the Gaussian location component</w:t>
      </w:r>
      <w:r>
        <w:t xml:space="preserve"> </w:t>
      </w:r>
      <m:oMath>
        <m:sSub>
          <m:e>
            <m:r>
              <m:t>μ</m:t>
            </m:r>
          </m:e>
          <m:sub>
            <m:r>
              <m:rPr>
                <m:nor/>
                <m:sty m:val="p"/>
              </m:rPr>
              <m:t>Gaussian</m:t>
            </m:r>
          </m:sub>
        </m:sSub>
      </m:oMath>
      <w:r>
        <w:t xml:space="preserve">. Actually, the</w:t>
      </w:r>
      <w:r>
        <w:t xml:space="preserve"> </w:t>
      </w:r>
      <w:r>
        <w:rPr>
          <w:rStyle w:val="VerbatimChar"/>
        </w:rPr>
        <w:t xml:space="preserve">brms</w:t>
      </w:r>
      <w:r>
        <w:t xml:space="preserve"> </w:t>
      </w:r>
      <w:r>
        <w:t xml:space="preserve">default</w:t>
      </w:r>
      <w:r>
        <w:t xml:space="preserve"> </w:t>
      </w:r>
      <w:r>
        <w:rPr>
          <w:rStyle w:val="VerbatimChar"/>
        </w:rPr>
        <w:t xml:space="preserve">mu</w:t>
      </w:r>
      <w:r>
        <w:t xml:space="preserve"> </w:t>
      </w:r>
      <w:r>
        <w:t xml:space="preserve">estimates</w:t>
      </w:r>
      <w:r>
        <w:t xml:space="preserve"> </w:t>
      </w:r>
      <m:oMath>
        <m:r>
          <m:t>E</m:t>
        </m:r>
        <m:r>
          <m:rPr>
            <m:sty m:val="p"/>
          </m:rPr>
          <m:t>(</m:t>
        </m:r>
        <m:r>
          <m:t>R</m:t>
        </m:r>
        <m:r>
          <m:t>T</m:t>
        </m:r>
        <m:r>
          <m:rPr>
            <m:sty m:val="p"/>
          </m:rPr>
          <m:t>)</m:t>
        </m:r>
        <m:r>
          <m:rPr>
            <m:sty m:val="p"/>
          </m:rPr>
          <m:t>=</m:t>
        </m:r>
        <m:sSub>
          <m:e>
            <m:r>
              <m:t>μ</m:t>
            </m:r>
          </m:e>
          <m:sub>
            <m:r>
              <m:rPr>
                <m:nor/>
                <m:sty m:val="p"/>
              </m:rPr>
              <m:t>Gaussian</m:t>
            </m:r>
          </m:sub>
        </m:sSub>
        <m:r>
          <m:rPr>
            <m:sty m:val="p"/>
          </m:rPr>
          <m:t>+</m:t>
        </m:r>
        <m:r>
          <m:t>τ</m:t>
        </m:r>
      </m:oMath>
      <w:r>
        <w:t xml:space="preserve">. Consequently,</w:t>
      </w:r>
      <w:r>
        <w:t xml:space="preserve"> </w:t>
      </w:r>
      <w:r>
        <w:t xml:space="preserve">Angele et al. (</w:t>
      </w:r>
      <w:hyperlink w:anchor="ref-angele2023">
        <w:r>
          <w:rPr>
            <w:rStyle w:val="Hyperlink"/>
          </w:rPr>
          <w:t xml:space="preserve">2023</w:t>
        </w:r>
      </w:hyperlink>
      <w:r>
        <w:t xml:space="preserve">)</w:t>
      </w:r>
      <w:r>
        <w:t xml:space="preserve"> </w:t>
      </w:r>
      <w:r>
        <w:t xml:space="preserve">interpreted overall differences in the distribution mean</w:t>
      </w:r>
      <w:r>
        <w:t xml:space="preserve"> </w:t>
      </w:r>
      <m:oMath>
        <m:r>
          <m:t>E</m:t>
        </m:r>
        <m:r>
          <m:rPr>
            <m:sty m:val="p"/>
          </m:rPr>
          <m:t>(</m:t>
        </m:r>
        <m:r>
          <m:t>R</m:t>
        </m:r>
        <m:r>
          <m:t>T</m:t>
        </m:r>
        <m:r>
          <m:rPr>
            <m:sty m:val="p"/>
          </m:rPr>
          <m:t>)</m:t>
        </m:r>
      </m:oMath>
      <w:r>
        <w:t xml:space="preserve"> </w:t>
      </w:r>
      <w:r>
        <w:t xml:space="preserve">as changes in the Gaussian location</w:t>
      </w:r>
      <w:r>
        <w:t xml:space="preserve"> </w:t>
      </w:r>
      <m:oMath>
        <m:sSub>
          <m:e>
            <m:r>
              <m:t>μ</m:t>
            </m:r>
          </m:e>
          <m:sub>
            <m:r>
              <m:rPr>
                <m:nor/>
                <m:sty m:val="p"/>
              </m:rPr>
              <m:t>Gaussian</m:t>
            </m:r>
          </m:sub>
        </m:sSub>
      </m:oMath>
      <w:r>
        <w:t xml:space="preserve">, when in fact they were a composite of changes in both</w:t>
      </w:r>
      <w:r>
        <w:t xml:space="preserve"> </w:t>
      </w:r>
      <m:oMath>
        <m:sSub>
          <m:e>
            <m:r>
              <m:t>μ</m:t>
            </m:r>
          </m:e>
          <m:sub>
            <m:r>
              <m:rPr>
                <m:nor/>
                <m:sty m:val="p"/>
              </m:rPr>
              <m:t>Gaussian</m:t>
            </m:r>
          </m:sub>
        </m:sSub>
      </m:oMath>
      <w:r>
        <w:t xml:space="preserve"> </w:t>
      </w:r>
      <w:r>
        <w:t xml:space="preserve">and</w:t>
      </w:r>
      <w:r>
        <w:t xml:space="preserve"> </w:t>
      </w:r>
      <m:oMath>
        <m:r>
          <m:t>τ</m:t>
        </m:r>
      </m:oMath>
      <w:r>
        <w:t xml:space="preserve">.</w:t>
      </w:r>
    </w:p>
    <w:p>
      <w:pPr>
        <w:numPr>
          <w:ilvl w:val="0"/>
          <w:numId w:val="1001"/>
        </w:numPr>
      </w:pPr>
      <w:r>
        <w:rPr>
          <w:b/>
          <w:bCs/>
        </w:rPr>
        <w:t xml:space="preserve">Prime Duration Effects</w:t>
      </w:r>
      <w:r>
        <w:t xml:space="preserve">: While</w:t>
      </w:r>
      <w:r>
        <w:t xml:space="preserve"> </w:t>
      </w:r>
      <w:r>
        <w:t xml:space="preserve">Angele et al. (</w:t>
      </w:r>
      <w:hyperlink w:anchor="ref-angele2023">
        <w:r>
          <w:rPr>
            <w:rStyle w:val="Hyperlink"/>
          </w:rPr>
          <w:t xml:space="preserve">2023</w:t>
        </w:r>
      </w:hyperlink>
      <w:r>
        <w:t xml:space="preserve">)</w:t>
      </w:r>
      <w:r>
        <w:t xml:space="preserve">’s interpretation of most of the effects does not differ substantially from what the classical parameterization results indicate, there is one interesting and potentially theoretically relevant difference: Based on their default {brms} model,</w:t>
      </w:r>
      <w:r>
        <w:t xml:space="preserve"> </w:t>
      </w:r>
      <w:r>
        <w:t xml:space="preserve">Angele et al. (</w:t>
      </w:r>
      <w:hyperlink w:anchor="ref-angele2023">
        <w:r>
          <w:rPr>
            <w:rStyle w:val="Hyperlink"/>
          </w:rPr>
          <w:t xml:space="preserve">2023</w:t>
        </w:r>
      </w:hyperlink>
      <w:r>
        <w:t xml:space="preserve">)</w:t>
      </w:r>
      <w:r>
        <w:t xml:space="preserve"> </w:t>
      </w:r>
      <w:r>
        <w:t xml:space="preserve">concluded that increasing prime exposure duration from 33 ms to 50 ms produced a credible downward shift in the Gaussian location parameter</w:t>
      </w:r>
      <w:r>
        <w:t xml:space="preserve"> </w:t>
      </w:r>
      <m:oMath>
        <m:r>
          <m:t>μ</m:t>
        </m:r>
      </m:oMath>
      <w:r>
        <w:t xml:space="preserve"> </w:t>
      </w:r>
      <w:r>
        <w:t xml:space="preserve">(</w:t>
      </w:r>
      <m:oMath>
        <m:r>
          <m:t>b</m:t>
        </m:r>
        <m:r>
          <m:rPr>
            <m:sty m:val="p"/>
          </m:rPr>
          <m:t>=</m:t>
        </m:r>
        <m:r>
          <m:rPr>
            <m:sty m:val="p"/>
          </m:rPr>
          <m:t>−</m:t>
        </m:r>
        <m:r>
          <m:t>10.9</m:t>
        </m:r>
      </m:oMath>
      <w:r>
        <w:t xml:space="preserve"> </w:t>
      </w:r>
      <w:r>
        <w:t xml:space="preserve">ms, 95% CrI [-14.5, -7.3]). However, the classical parameterization reveals that the true main effect of prime duration on</w:t>
      </w:r>
      <w:r>
        <w:t xml:space="preserve"> </w:t>
      </w:r>
      <m:oMath>
        <m:sSub>
          <m:e>
            <m:r>
              <m:t>μ</m:t>
            </m:r>
          </m:e>
          <m:sub>
            <m:r>
              <m:rPr>
                <m:nor/>
                <m:sty m:val="p"/>
              </m:rPr>
              <m:t>Gaussian</m:t>
            </m:r>
          </m:sub>
        </m:sSub>
      </m:oMath>
      <w:r>
        <w:t xml:space="preserve"> </w:t>
      </w:r>
      <w:r>
        <w:t xml:space="preserve">is uncertain (3.1 ms, 95% CrI [-0.2, 6.4], pd = 0.969, with the 95% CrI containing zero). Instead, our reanalysis shows that the overall reduction in RTs at 50 ms prime duration was driven almost entirely by a compression of the exponential tail</w:t>
      </w:r>
      <w:r>
        <w:t xml:space="preserve"> </w:t>
      </w:r>
      <m:oMath>
        <m:r>
          <m:t>τ</m:t>
        </m:r>
      </m:oMath>
      <w:r>
        <w:t xml:space="preserve"> </w:t>
      </w:r>
      <w:r>
        <w:t xml:space="preserve">(9.2 ms, 95% CrI [3.7, 14.8], pd = 0.999). The effect on</w:t>
      </w:r>
      <w:r>
        <w:t xml:space="preserve"> </w:t>
      </w:r>
      <m:oMath>
        <m:r>
          <m:t>E</m:t>
        </m:r>
        <m:r>
          <m:rPr>
            <m:sty m:val="p"/>
          </m:rPr>
          <m:t>(</m:t>
        </m:r>
        <m:r>
          <m:t>R</m:t>
        </m:r>
        <m:r>
          <m:t>T</m:t>
        </m:r>
        <m:r>
          <m:rPr>
            <m:sty m:val="p"/>
          </m:rPr>
          <m:t>)</m:t>
        </m:r>
      </m:oMath>
      <w:r>
        <w:t xml:space="preserve"> </w:t>
      </w:r>
      <w:r>
        <w:t xml:space="preserve">reported by</w:t>
      </w:r>
      <w:r>
        <w:t xml:space="preserve"> </w:t>
      </w:r>
      <w:r>
        <w:t xml:space="preserve">Angele et al. (</w:t>
      </w:r>
      <w:hyperlink w:anchor="ref-angele2023">
        <w:r>
          <w:rPr>
            <w:rStyle w:val="Hyperlink"/>
          </w:rPr>
          <w:t xml:space="preserve">2023</w:t>
        </w:r>
      </w:hyperlink>
      <w:r>
        <w:t xml:space="preserve">)</w:t>
      </w:r>
      <w:r>
        <w:t xml:space="preserve"> </w:t>
      </w:r>
      <w:r>
        <w:t xml:space="preserve">as a location shift in</w:t>
      </w:r>
      <w:r>
        <w:t xml:space="preserve"> </w:t>
      </w:r>
      <m:oMath>
        <m:r>
          <m:t>μ</m:t>
        </m:r>
      </m:oMath>
      <w:r>
        <w:t xml:space="preserve"> </w:t>
      </w:r>
      <w:r>
        <w:t xml:space="preserve">was actually the composite sum of a non-credible</w:t>
      </w:r>
      <w:r>
        <w:t xml:space="preserve"> </w:t>
      </w:r>
      <m:oMath>
        <m:r>
          <m:t>μ</m:t>
        </m:r>
      </m:oMath>
      <w:r>
        <w:t xml:space="preserve"> </w:t>
      </w:r>
      <w:r>
        <w:t xml:space="preserve">shift (3.1 ms) and a credible</w:t>
      </w:r>
      <w:r>
        <w:t xml:space="preserve"> </w:t>
      </w:r>
      <m:oMath>
        <m:r>
          <m:t>τ</m:t>
        </m:r>
      </m:oMath>
      <w:r>
        <w:t xml:space="preserve"> </w:t>
      </w:r>
      <w:r>
        <w:t xml:space="preserve">tail reduction (9.2 ms).</w:t>
      </w:r>
    </w:p>
    <w:p>
      <w:pPr>
        <w:numPr>
          <w:ilvl w:val="0"/>
          <w:numId w:val="1001"/>
        </w:numPr>
      </w:pPr>
      <w:r>
        <w:rPr>
          <w:b/>
          <w:bCs/>
        </w:rPr>
        <w:t xml:space="preserve">Priming Effects and Interaction</w:t>
      </w:r>
      <w:r>
        <w:t xml:space="preserve">: For the priming manipulation, the main effect of relatedness on</w:t>
      </w:r>
      <w:r>
        <w:t xml:space="preserve"> </w:t>
      </w:r>
      <m:oMath>
        <m:sSub>
          <m:e>
            <m:r>
              <m:t>μ</m:t>
            </m:r>
          </m:e>
          <m:sub>
            <m:r>
              <m:rPr>
                <m:nor/>
                <m:sty m:val="p"/>
              </m:rPr>
              <m:t>Gaussian</m:t>
            </m:r>
          </m:sub>
        </m:sSub>
      </m:oMath>
      <w:r>
        <w:t xml:space="preserve"> </w:t>
      </w:r>
      <w:r>
        <w:t xml:space="preserve">(-28.5 ms, 95% CrI [-32.3, -24.7], pd = 1.000) and the interaction (17.1 ms, 95% CrI [10.5, 23.8], pd = 1.000) closely mirror the</w:t>
      </w:r>
      <w:r>
        <w:t xml:space="preserve"> </w:t>
      </w:r>
      <m:oMath>
        <m:r>
          <m:t>E</m:t>
        </m:r>
        <m:r>
          <m:rPr>
            <m:sty m:val="p"/>
          </m:rPr>
          <m:t>(</m:t>
        </m:r>
        <m:r>
          <m:t>R</m:t>
        </m:r>
        <m:r>
          <m:t>T</m:t>
        </m:r>
        <m:r>
          <m:rPr>
            <m:sty m:val="p"/>
          </m:rPr>
          <m:t>)</m:t>
        </m:r>
      </m:oMath>
      <w:r>
        <w:t xml:space="preserve"> </w:t>
      </w:r>
      <w:r>
        <w:t xml:space="preserve">effects reported by</w:t>
      </w:r>
      <w:r>
        <w:t xml:space="preserve"> </w:t>
      </w:r>
      <w:r>
        <w:t xml:space="preserve">Angele et al. (</w:t>
      </w:r>
      <w:hyperlink w:anchor="ref-angele2023">
        <w:r>
          <w:rPr>
            <w:rStyle w:val="Hyperlink"/>
          </w:rPr>
          <w:t xml:space="preserve">2023</w:t>
        </w:r>
      </w:hyperlink>
      <w:r>
        <w:t xml:space="preserve">)</w:t>
      </w:r>
      <w:r>
        <w:t xml:space="preserve"> </w:t>
      </w:r>
      <w:r>
        <w:t xml:space="preserve">(main effect</w:t>
      </w:r>
      <w:r>
        <w:t xml:space="preserve"> </w:t>
      </w:r>
      <m:oMath>
        <m:r>
          <m:rPr>
            <m:sty m:val="p"/>
          </m:rPr>
          <m:t>∼</m:t>
        </m:r>
        <m:r>
          <m:t>31.5</m:t>
        </m:r>
      </m:oMath>
      <w:r>
        <w:t xml:space="preserve"> </w:t>
      </w:r>
      <w:r>
        <w:t xml:space="preserve">ms, interaction</w:t>
      </w:r>
      <w:r>
        <w:t xml:space="preserve"> </w:t>
      </w:r>
      <m:oMath>
        <m:r>
          <m:rPr>
            <m:sty m:val="p"/>
          </m:rPr>
          <m:t>∼</m:t>
        </m:r>
        <m:r>
          <m:t>19.3</m:t>
        </m:r>
      </m:oMath>
      <w:r>
        <w:t xml:space="preserve"> </w:t>
      </w:r>
      <w:r>
        <w:t xml:space="preserve">ms). The estimates for the two parameterizations align closely for the priming effect because</w:t>
      </w:r>
      <w:r>
        <w:t xml:space="preserve"> </w:t>
      </w:r>
      <m:oMath>
        <m:r>
          <m:t>τ</m:t>
        </m:r>
      </m:oMath>
      <w:r>
        <w:t xml:space="preserve"> </w:t>
      </w:r>
      <w:r>
        <w:t xml:space="preserve">showed no credible priming differences (-3.1 ms, 95% CrI [-8.0, 1.9], pd = 0.889). When</w:t>
      </w:r>
      <w:r>
        <w:t xml:space="preserve"> </w:t>
      </w:r>
      <m:oMath>
        <m:r>
          <m:rPr>
            <m:sty m:val="p"/>
          </m:rPr>
          <m:t>Δ</m:t>
        </m:r>
        <m:r>
          <m:t>τ</m:t>
        </m:r>
        <m:r>
          <m:rPr>
            <m:sty m:val="p"/>
          </m:rPr>
          <m:t>≈</m:t>
        </m:r>
        <m:r>
          <m:t>0</m:t>
        </m:r>
      </m:oMath>
      <w:r>
        <w:t xml:space="preserve">, changes in the distributional mean</w:t>
      </w:r>
      <w:r>
        <w:t xml:space="preserve"> </w:t>
      </w:r>
      <m:oMath>
        <m:r>
          <m:rPr>
            <m:sty m:val="p"/>
          </m:rPr>
          <m:t>Δ</m:t>
        </m:r>
        <m:r>
          <m:t>E</m:t>
        </m:r>
        <m:r>
          <m:rPr>
            <m:sty m:val="p"/>
          </m:rPr>
          <m:t>(</m:t>
        </m:r>
        <m:r>
          <m:t>R</m:t>
        </m:r>
        <m:r>
          <m:t>T</m:t>
        </m:r>
        <m:r>
          <m:rPr>
            <m:sty m:val="p"/>
          </m:rPr>
          <m:t>)</m:t>
        </m:r>
      </m:oMath>
      <w:r>
        <w:t xml:space="preserve"> </w:t>
      </w:r>
      <w:r>
        <w:t xml:space="preserve">track changes in the Gaussian location</w:t>
      </w:r>
      <w:r>
        <w:t xml:space="preserve"> </w:t>
      </w:r>
      <m:oMath>
        <m:r>
          <m:rPr>
            <m:sty m:val="p"/>
          </m:rPr>
          <m:t>Δ</m:t>
        </m:r>
        <m:r>
          <m:t>μ</m:t>
        </m:r>
      </m:oMath>
      <w:r>
        <w:t xml:space="preserve"> </w:t>
      </w:r>
      <w:r>
        <w:t xml:space="preserve">nearly 1-to-1.</w:t>
      </w:r>
    </w:p>
    <w:p>
      <w:pPr>
        <w:numPr>
          <w:ilvl w:val="0"/>
          <w:numId w:val="1001"/>
        </w:numPr>
      </w:pPr>
      <w:r>
        <w:rPr>
          <w:b/>
          <w:bCs/>
        </w:rPr>
        <w:t xml:space="preserve">Summary</w:t>
      </w:r>
      <w:r>
        <w:t xml:space="preserve">: This empirical comparison demonstrates that misinterpreting default {brms} parameters can lead to subtle misattributions regarding</w:t>
      </w:r>
      <w:r>
        <w:t xml:space="preserve"> </w:t>
      </w:r>
      <w:r>
        <w:rPr>
          <w:i/>
          <w:iCs/>
        </w:rPr>
        <w:t xml:space="preserve">which</w:t>
      </w:r>
      <w:r>
        <w:t xml:space="preserve"> </w:t>
      </w:r>
      <w:r>
        <w:t xml:space="preserve">distributional component is altered by an experimental manipulation. In</w:t>
      </w:r>
      <w:r>
        <w:t xml:space="preserve"> </w:t>
      </w:r>
      <w:r>
        <w:t xml:space="preserve">Angele et al. (</w:t>
      </w:r>
      <w:hyperlink w:anchor="ref-angele2023">
        <w:r>
          <w:rPr>
            <w:rStyle w:val="Hyperlink"/>
          </w:rPr>
          <w:t xml:space="preserve">2023</w:t>
        </w:r>
      </w:hyperlink>
      <w:r>
        <w:t xml:space="preserve">)</w:t>
      </w:r>
      <w:r>
        <w:t xml:space="preserve">, a tail-shortening effect of prime duration (</w:t>
      </w:r>
      <m:oMath>
        <m:r>
          <m:rPr>
            <m:sty m:val="p"/>
          </m:rPr>
          <m:t>Δ</m:t>
        </m:r>
        <m:r>
          <m:t>τ</m:t>
        </m:r>
        <m:r>
          <m:rPr>
            <m:sty m:val="p"/>
          </m:rPr>
          <m:t>=</m:t>
        </m:r>
      </m:oMath>
      <w:r>
        <w:t xml:space="preserve"> </w:t>
      </w:r>
      <w:r>
        <w:t xml:space="preserve">9.2 ms) was attributed to the Gaussian location parameter (</w:t>
      </w:r>
      <w:r>
        <w:rPr>
          <w:rStyle w:val="VerbatimChar"/>
        </w:rPr>
        <w:t xml:space="preserve">mu</w:t>
      </w:r>
      <w:r>
        <w:t xml:space="preserve">). Adopting the classical parameterization showcases some uncertainty regarding the existence of an effect of prime duration on</w:t>
      </w:r>
      <w:r>
        <w:t xml:space="preserve"> </w:t>
      </w:r>
      <m:oMath>
        <m:r>
          <m:t>μ</m:t>
        </m:r>
      </m:oMath>
      <w:r>
        <w:t xml:space="preserve"> </w:t>
      </w:r>
      <w:r>
        <w:t xml:space="preserve">(pd = 0.969), underscoring that parameterization affects not only which component an effect is attributed to, but the confidence with which its existence can be claimed at all.</w:t>
      </w:r>
    </w:p>
    <w:bookmarkEnd w:id="77"/>
    <w:bookmarkEnd w:id="78"/>
    <w:bookmarkStart w:id="79" w:name="conclusion"/>
    <w:p>
      <w:pPr>
        <w:pStyle w:val="Heading1"/>
      </w:pPr>
      <w:r>
        <w:t xml:space="preserve">Conclusion</w:t>
      </w:r>
    </w:p>
    <w:p>
      <w:pPr>
        <w:pStyle w:val="FirstParagraph"/>
      </w:pPr>
      <w:r>
        <w:t xml:space="preserve">With this discussion, we hope to encourage researchers to use the appropriate ex-Gaussian parameterization when modeling reaction-time data with the {brms} package. The ex-Gaussian distribution provides a powerful framework for moving beyond analyses of the mean by separating differences in the central portion of the reaction-time distribution from differences in its right tail.</w:t>
      </w:r>
    </w:p>
    <w:p>
      <w:pPr>
        <w:pStyle w:val="BodyText"/>
      </w:pPr>
      <w:r>
        <w:t xml:space="preserve">However, this flexibility also requires careful attention to model parameterization. In particular, researchers should not assume that parameters with familiar labels necessarily have the same interpretation across software implementations. Researchers should therefore examine the statistical definition and underlying implementation of a model before fitting it and interpreting its parameters. This is especially important when using flexible modeling software that may adopt parameterizations that differ from those commonly used in a particular research literature. We hope this commentary serves both as a practical guide to fitting the classical ex-Gaussian model in {brms} and as a broader reminder that convenient software defaults should not replace careful consideration of what a model actually estimates.</w:t>
      </w:r>
    </w:p>
    <w:p>
      <w:r>
        <w:br w:type="page"/>
      </w:r>
    </w:p>
    <w:bookmarkEnd w:id="79"/>
    <w:bookmarkStart w:id="87" w:name="declarations"/>
    <w:p>
      <w:pPr>
        <w:pStyle w:val="Heading1"/>
      </w:pPr>
      <w:r>
        <w:t xml:space="preserve">Declarations</w:t>
      </w:r>
    </w:p>
    <w:bookmarkStart w:id="80" w:name="funding"/>
    <w:p>
      <w:pPr>
        <w:pStyle w:val="Heading2"/>
      </w:pPr>
      <w:r>
        <w:t xml:space="preserve">Funding</w:t>
      </w:r>
    </w:p>
    <w:p>
      <w:pPr>
        <w:pStyle w:val="FirstParagraph"/>
      </w:pPr>
      <w:r>
        <w:t xml:space="preserve">No funding to report.</w:t>
      </w:r>
    </w:p>
    <w:bookmarkEnd w:id="80"/>
    <w:bookmarkStart w:id="81" w:name="conflicts-of-interest"/>
    <w:p>
      <w:pPr>
        <w:pStyle w:val="Heading2"/>
      </w:pPr>
      <w:r>
        <w:t xml:space="preserve">Conflicts of Interest</w:t>
      </w:r>
    </w:p>
    <w:p>
      <w:pPr>
        <w:pStyle w:val="FirstParagraph"/>
      </w:pPr>
      <w:r>
        <w:t xml:space="preserve">The authors declare no conflicts of interest.</w:t>
      </w:r>
    </w:p>
    <w:bookmarkEnd w:id="81"/>
    <w:bookmarkStart w:id="82" w:name="ethics-approval"/>
    <w:p>
      <w:pPr>
        <w:pStyle w:val="Heading2"/>
      </w:pPr>
      <w:r>
        <w:t xml:space="preserve">Ethics Approval</w:t>
      </w:r>
    </w:p>
    <w:p>
      <w:pPr>
        <w:pStyle w:val="FirstParagraph"/>
      </w:pPr>
      <w:r>
        <w:t xml:space="preserve">Not applicable.</w:t>
      </w:r>
      <w:r>
        <w:t xml:space="preserve"> </w:t>
      </w:r>
      <w:r>
        <w:t xml:space="preserve">No human data was collected.</w:t>
      </w:r>
    </w:p>
    <w:bookmarkEnd w:id="82"/>
    <w:bookmarkStart w:id="83" w:name="consent-for-publication"/>
    <w:p>
      <w:pPr>
        <w:pStyle w:val="Heading2"/>
      </w:pPr>
      <w:r>
        <w:t xml:space="preserve">Consent for Publication</w:t>
      </w:r>
    </w:p>
    <w:p>
      <w:pPr>
        <w:pStyle w:val="FirstParagraph"/>
      </w:pPr>
      <w:r>
        <w:t xml:space="preserve">I consent for my paper to be published in BRM.</w:t>
      </w:r>
    </w:p>
    <w:bookmarkEnd w:id="83"/>
    <w:bookmarkStart w:id="84" w:name="consent-to-participate"/>
    <w:p>
      <w:pPr>
        <w:pStyle w:val="Heading2"/>
      </w:pPr>
      <w:r>
        <w:t xml:space="preserve">Consent to Participate</w:t>
      </w:r>
    </w:p>
    <w:p>
      <w:pPr>
        <w:pStyle w:val="FirstParagraph"/>
      </w:pPr>
      <w:r>
        <w:t xml:space="preserve">Not applicable.</w:t>
      </w:r>
      <w:r>
        <w:t xml:space="preserve"> </w:t>
      </w:r>
      <w:r>
        <w:t xml:space="preserve">No human data was collected.</w:t>
      </w:r>
    </w:p>
    <w:bookmarkEnd w:id="84"/>
    <w:bookmarkStart w:id="85" w:name="availability-of-data-code-and-materials"/>
    <w:p>
      <w:pPr>
        <w:pStyle w:val="Heading2"/>
      </w:pPr>
      <w:r>
        <w:t xml:space="preserve">Availability of Data, Code, and Materials</w:t>
      </w:r>
    </w:p>
    <w:p>
      <w:pPr>
        <w:pStyle w:val="FirstParagraph"/>
      </w:pPr>
      <w:r>
        <w:t xml:space="preserve">All data and code are stored here: https://github.com/jgeller112/exGauss_commentary.</w:t>
      </w:r>
    </w:p>
    <w:bookmarkEnd w:id="85"/>
    <w:bookmarkStart w:id="86" w:name="authors-contributions"/>
    <w:p>
      <w:pPr>
        <w:pStyle w:val="Heading2"/>
      </w:pPr>
      <w:r>
        <w:t xml:space="preserve">Authors’ Contributions</w:t>
      </w:r>
    </w:p>
    <w:p>
      <w:pPr>
        <w:pStyle w:val="Compact"/>
        <w:numPr>
          <w:ilvl w:val="0"/>
          <w:numId w:val="1002"/>
        </w:numPr>
      </w:pPr>
      <w:r>
        <w:t xml:space="preserve">JG - Conceptualization, Data curation, Formal analysis, Project administration, Resources, Visualization, Writing—original draft</w:t>
      </w:r>
    </w:p>
    <w:p>
      <w:pPr>
        <w:pStyle w:val="Compact"/>
        <w:numPr>
          <w:ilvl w:val="0"/>
          <w:numId w:val="1002"/>
        </w:numPr>
      </w:pPr>
      <w:r>
        <w:t xml:space="preserve">BA - Formal analysis, Validation, Writing—original draft, Writing—review &amp; editing</w:t>
      </w:r>
    </w:p>
    <w:p>
      <w:pPr>
        <w:pStyle w:val="Compact"/>
        <w:numPr>
          <w:ilvl w:val="0"/>
          <w:numId w:val="1002"/>
        </w:numPr>
      </w:pPr>
      <w:r>
        <w:t xml:space="preserve">DM - Formal analysis, Validation, Software, Writing—review &amp; editing</w:t>
      </w:r>
    </w:p>
    <w:p>
      <w:r>
        <w:br w:type="page"/>
      </w:r>
    </w:p>
    <w:bookmarkEnd w:id="86"/>
    <w:bookmarkEnd w:id="87"/>
    <w:bookmarkStart w:id="225" w:name="references"/>
    <w:p>
      <w:pPr>
        <w:pStyle w:val="Heading1"/>
      </w:pPr>
      <w:r>
        <w:t xml:space="preserve">References</w:t>
      </w:r>
    </w:p>
    <w:bookmarkStart w:id="224" w:name="refs"/>
    <w:bookmarkStart w:id="89" w:name="ref-rmarkdown2026"/>
    <w:p>
      <w:pPr>
        <w:pStyle w:val="Bibliography"/>
      </w:pPr>
      <w:r>
        <w:t xml:space="preserve">Allaire, J., Xie, Y., Dervieux, C., McPherson, J., Luraschi, J., Ushey, K., Atkins, A., Wickham, H., Cheng, J., Chang, W., &amp; Iannone, R. (2026).</w:t>
      </w:r>
      <w:r>
        <w:t xml:space="preserve"> </w:t>
      </w:r>
      <w:r>
        <w:rPr>
          <w:i/>
          <w:iCs/>
        </w:rPr>
        <w:t xml:space="preserve">rmarkdown</w:t>
      </w:r>
      <w:r>
        <w:rPr>
          <w:i/>
          <w:iCs/>
        </w:rPr>
        <w:t xml:space="preserve">: Dynamic documents for r</w:t>
      </w:r>
      <w:r>
        <w:t xml:space="preserve">.</w:t>
      </w:r>
      <w:r>
        <w:t xml:space="preserve"> </w:t>
      </w:r>
      <w:hyperlink r:id="rId88">
        <w:r>
          <w:rPr>
            <w:rStyle w:val="Hyperlink"/>
          </w:rPr>
          <w:t xml:space="preserve">https://github.com/rstudio/rmarkdown</w:t>
        </w:r>
      </w:hyperlink>
    </w:p>
    <w:bookmarkEnd w:id="89"/>
    <w:bookmarkStart w:id="91" w:name="ref-angele2023"/>
    <w:p>
      <w:pPr>
        <w:pStyle w:val="Bibliography"/>
      </w:pPr>
      <w:r>
        <w:t xml:space="preserve">Angele, B., Baciero, A., Gómez, P., &amp; Perea, M. (2023). Does online masked priming pass the test? The effects of prime exposure duration on masked identity priming.</w:t>
      </w:r>
      <w:r>
        <w:t xml:space="preserve"> </w:t>
      </w:r>
      <w:r>
        <w:rPr>
          <w:i/>
          <w:iCs/>
        </w:rPr>
        <w:t xml:space="preserve">Behavior Research Methods</w:t>
      </w:r>
      <w:r>
        <w:t xml:space="preserve">,</w:t>
      </w:r>
      <w:r>
        <w:t xml:space="preserve"> </w:t>
      </w:r>
      <w:r>
        <w:rPr>
          <w:i/>
          <w:iCs/>
        </w:rPr>
        <w:t xml:space="preserve">55</w:t>
      </w:r>
      <w:r>
        <w:t xml:space="preserve">(1), 151–167.</w:t>
      </w:r>
      <w:r>
        <w:t xml:space="preserve"> </w:t>
      </w:r>
      <w:hyperlink r:id="rId90">
        <w:r>
          <w:rPr>
            <w:rStyle w:val="Hyperlink"/>
          </w:rPr>
          <w:t xml:space="preserve">https://doi.org/10.3758/s13428-021-01742-y</w:t>
        </w:r>
      </w:hyperlink>
    </w:p>
    <w:bookmarkEnd w:id="91"/>
    <w:bookmarkStart w:id="93" w:name="ref-angele2024reading"/>
    <w:p>
      <w:pPr>
        <w:pStyle w:val="Bibliography"/>
      </w:pPr>
      <w:r>
        <w:t xml:space="preserve">Angele, B., Gutiérrez-Cordero, I., Perea, M., &amp; Marcet, A. (2024). Reading(,) with and without commas.</w:t>
      </w:r>
      <w:r>
        <w:t xml:space="preserve"> </w:t>
      </w:r>
      <w:r>
        <w:rPr>
          <w:i/>
          <w:iCs/>
        </w:rPr>
        <w:t xml:space="preserve">Quarterly Journal of Experimental Psychology</w:t>
      </w:r>
      <w:r>
        <w:t xml:space="preserve">,</w:t>
      </w:r>
      <w:r>
        <w:t xml:space="preserve"> </w:t>
      </w:r>
      <w:r>
        <w:rPr>
          <w:i/>
          <w:iCs/>
        </w:rPr>
        <w:t xml:space="preserve">77</w:t>
      </w:r>
      <w:r>
        <w:t xml:space="preserve">(6), 1190–1200.</w:t>
      </w:r>
      <w:r>
        <w:t xml:space="preserve"> </w:t>
      </w:r>
      <w:hyperlink r:id="rId92">
        <w:r>
          <w:rPr>
            <w:rStyle w:val="Hyperlink"/>
          </w:rPr>
          <w:t xml:space="preserve">https://doi.org/10.1177/17470218231200338</w:t>
        </w:r>
      </w:hyperlink>
    </w:p>
    <w:bookmarkEnd w:id="93"/>
    <w:bookmarkStart w:id="95" w:name="ref-tinytable"/>
    <w:p>
      <w:pPr>
        <w:pStyle w:val="Bibliography"/>
      </w:pPr>
      <w:r>
        <w:t xml:space="preserve">Arel-Bundock, V. (2026).</w:t>
      </w:r>
      <w:r>
        <w:t xml:space="preserve"> </w:t>
      </w:r>
      <w:r>
        <w:rPr>
          <w:i/>
          <w:iCs/>
        </w:rPr>
        <w:t xml:space="preserve">tinytable</w:t>
      </w:r>
      <w:r>
        <w:rPr>
          <w:i/>
          <w:iCs/>
        </w:rPr>
        <w:t xml:space="preserve">: Simple and configurable tables in</w:t>
      </w:r>
      <w:r>
        <w:rPr>
          <w:i/>
          <w:iCs/>
        </w:rPr>
        <w:t xml:space="preserve"> </w:t>
      </w:r>
      <w:r>
        <w:rPr>
          <w:i/>
          <w:iCs/>
        </w:rPr>
        <w:t xml:space="preserve">“</w:t>
      </w:r>
      <w:r>
        <w:rPr>
          <w:i/>
          <w:iCs/>
        </w:rPr>
        <w:t xml:space="preserve">HTML</w:t>
      </w:r>
      <w:r>
        <w:rPr>
          <w:i/>
          <w:iCs/>
        </w:rPr>
        <w:t xml:space="preserve">,”</w:t>
      </w:r>
      <w:r>
        <w:rPr>
          <w:i/>
          <w:iCs/>
        </w:rPr>
        <w:t xml:space="preserve"> </w:t>
      </w:r>
      <w:r>
        <w:rPr>
          <w:i/>
          <w:iCs/>
        </w:rPr>
        <w:t xml:space="preserve">“</w:t>
      </w:r>
      <w:r>
        <w:rPr>
          <w:i/>
          <w:iCs/>
        </w:rPr>
        <w:t xml:space="preserve">LaTeX</w:t>
      </w:r>
      <w:r>
        <w:rPr>
          <w:i/>
          <w:iCs/>
        </w:rPr>
        <w:t xml:space="preserve">,”</w:t>
      </w:r>
      <w:r>
        <w:rPr>
          <w:i/>
          <w:iCs/>
        </w:rPr>
        <w:t xml:space="preserve"> </w:t>
      </w:r>
      <w:r>
        <w:rPr>
          <w:i/>
          <w:iCs/>
        </w:rPr>
        <w:t xml:space="preserve">“</w:t>
      </w:r>
      <w:r>
        <w:rPr>
          <w:i/>
          <w:iCs/>
        </w:rPr>
        <w:t xml:space="preserve">Markdown</w:t>
      </w:r>
      <w:r>
        <w:rPr>
          <w:i/>
          <w:iCs/>
        </w:rPr>
        <w:t xml:space="preserve">,”</w:t>
      </w:r>
      <w:r>
        <w:rPr>
          <w:i/>
          <w:iCs/>
        </w:rPr>
        <w:t xml:space="preserve"> </w:t>
      </w:r>
      <w:r>
        <w:rPr>
          <w:i/>
          <w:iCs/>
        </w:rPr>
        <w:t xml:space="preserve">“</w:t>
      </w:r>
      <w:r>
        <w:rPr>
          <w:i/>
          <w:iCs/>
        </w:rPr>
        <w:t xml:space="preserve">Word</w:t>
      </w:r>
      <w:r>
        <w:rPr>
          <w:i/>
          <w:iCs/>
        </w:rPr>
        <w:t xml:space="preserve">,”</w:t>
      </w:r>
      <w:r>
        <w:rPr>
          <w:i/>
          <w:iCs/>
        </w:rPr>
        <w:t xml:space="preserve"> </w:t>
      </w:r>
      <w:r>
        <w:rPr>
          <w:i/>
          <w:iCs/>
        </w:rPr>
        <w:t xml:space="preserve">“</w:t>
      </w:r>
      <w:r>
        <w:rPr>
          <w:i/>
          <w:iCs/>
        </w:rPr>
        <w:t xml:space="preserve">PNG</w:t>
      </w:r>
      <w:r>
        <w:rPr>
          <w:i/>
          <w:iCs/>
        </w:rPr>
        <w:t xml:space="preserve">,”</w:t>
      </w:r>
      <w:r>
        <w:rPr>
          <w:i/>
          <w:iCs/>
        </w:rPr>
        <w:t xml:space="preserve"> </w:t>
      </w:r>
      <w:r>
        <w:rPr>
          <w:i/>
          <w:iCs/>
        </w:rPr>
        <w:t xml:space="preserve">“</w:t>
      </w:r>
      <w:r>
        <w:rPr>
          <w:i/>
          <w:iCs/>
        </w:rPr>
        <w:t xml:space="preserve">PDF</w:t>
      </w:r>
      <w:r>
        <w:rPr>
          <w:i/>
          <w:iCs/>
        </w:rPr>
        <w:t xml:space="preserve">,”</w:t>
      </w:r>
      <w:r>
        <w:rPr>
          <w:i/>
          <w:iCs/>
        </w:rPr>
        <w:t xml:space="preserve"> </w:t>
      </w:r>
      <w:r>
        <w:rPr>
          <w:i/>
          <w:iCs/>
        </w:rPr>
        <w:t xml:space="preserve">and</w:t>
      </w:r>
      <w:r>
        <w:rPr>
          <w:i/>
          <w:iCs/>
        </w:rPr>
        <w:t xml:space="preserve"> </w:t>
      </w:r>
      <w:r>
        <w:rPr>
          <w:i/>
          <w:iCs/>
        </w:rPr>
        <w:t xml:space="preserve">“</w:t>
      </w:r>
      <w:r>
        <w:rPr>
          <w:i/>
          <w:iCs/>
        </w:rPr>
        <w:t xml:space="preserve">Typst</w:t>
      </w:r>
      <w:r>
        <w:rPr>
          <w:i/>
          <w:iCs/>
        </w:rPr>
        <w:t xml:space="preserve">”</w:t>
      </w:r>
      <w:r>
        <w:rPr>
          <w:i/>
          <w:iCs/>
        </w:rPr>
        <w:t xml:space="preserve"> </w:t>
      </w:r>
      <w:r>
        <w:rPr>
          <w:i/>
          <w:iCs/>
        </w:rPr>
        <w:t xml:space="preserve">formats</w:t>
      </w:r>
      <w:r>
        <w:t xml:space="preserve">.</w:t>
      </w:r>
      <w:r>
        <w:t xml:space="preserve"> </w:t>
      </w:r>
      <w:hyperlink r:id="rId94">
        <w:r>
          <w:rPr>
            <w:rStyle w:val="Hyperlink"/>
          </w:rPr>
          <w:t xml:space="preserve">https://doi.org/10.32614/CRAN.package.tinytable</w:t>
        </w:r>
      </w:hyperlink>
    </w:p>
    <w:bookmarkEnd w:id="95"/>
    <w:bookmarkStart w:id="97" w:name="ref-baayen2010analyzing"/>
    <w:p>
      <w:pPr>
        <w:pStyle w:val="Bibliography"/>
      </w:pPr>
      <w:r>
        <w:t xml:space="preserve">Baayen, R. H., &amp; Milin, P. (2010). Analyzing reaction times.</w:t>
      </w:r>
      <w:r>
        <w:t xml:space="preserve"> </w:t>
      </w:r>
      <w:r>
        <w:rPr>
          <w:i/>
          <w:iCs/>
        </w:rPr>
        <w:t xml:space="preserve">International Journal of Psychological Research</w:t>
      </w:r>
      <w:r>
        <w:t xml:space="preserve">,</w:t>
      </w:r>
      <w:r>
        <w:t xml:space="preserve"> </w:t>
      </w:r>
      <w:r>
        <w:rPr>
          <w:i/>
          <w:iCs/>
        </w:rPr>
        <w:t xml:space="preserve">3</w:t>
      </w:r>
      <w:r>
        <w:t xml:space="preserve">(2), 12–28.</w:t>
      </w:r>
      <w:r>
        <w:t xml:space="preserve"> </w:t>
      </w:r>
      <w:hyperlink r:id="rId96">
        <w:r>
          <w:rPr>
            <w:rStyle w:val="Hyperlink"/>
          </w:rPr>
          <w:t xml:space="preserve">https://doi.org/10.21500/20112084.807</w:t>
        </w:r>
      </w:hyperlink>
    </w:p>
    <w:bookmarkEnd w:id="97"/>
    <w:bookmarkStart w:id="99" w:name="ref-balota2011"/>
    <w:p>
      <w:pPr>
        <w:pStyle w:val="Bibliography"/>
      </w:pPr>
      <w:r>
        <w:t xml:space="preserve">Balota, D. A., &amp; Yap, M. J. (2011). Moving beyond the mean in studies of mental chronometry the power of response time distributional analyses.</w:t>
      </w:r>
      <w:r>
        <w:t xml:space="preserve"> </w:t>
      </w:r>
      <w:r>
        <w:rPr>
          <w:i/>
          <w:iCs/>
        </w:rPr>
        <w:t xml:space="preserve">Current Directions in Psychological Science</w:t>
      </w:r>
      <w:r>
        <w:t xml:space="preserve">,</w:t>
      </w:r>
      <w:r>
        <w:t xml:space="preserve"> </w:t>
      </w:r>
      <w:r>
        <w:rPr>
          <w:i/>
          <w:iCs/>
        </w:rPr>
        <w:t xml:space="preserve">20</w:t>
      </w:r>
      <w:r>
        <w:t xml:space="preserve">(3), 160166.</w:t>
      </w:r>
      <w:r>
        <w:t xml:space="preserve"> </w:t>
      </w:r>
      <w:hyperlink r:id="rId98">
        <w:r>
          <w:rPr>
            <w:rStyle w:val="Hyperlink"/>
          </w:rPr>
          <w:t xml:space="preserve">https://doi.org/10.1177/0963721411408885</w:t>
        </w:r>
      </w:hyperlink>
    </w:p>
    <w:bookmarkEnd w:id="99"/>
    <w:bookmarkStart w:id="101" w:name="ref-balota2008"/>
    <w:p>
      <w:pPr>
        <w:pStyle w:val="Bibliography"/>
      </w:pPr>
      <w:r>
        <w:t xml:space="preserve">Balota, D. A., Yap, M. J., Cortese, M. J., &amp; Watson, J. M. (2008). Beyond mean response latency: Response time distributional analyses of semantic priming and word frequency effects.</w:t>
      </w:r>
      <w:r>
        <w:t xml:space="preserve"> </w:t>
      </w:r>
      <w:r>
        <w:rPr>
          <w:i/>
          <w:iCs/>
        </w:rPr>
        <w:t xml:space="preserve">Journal of Memory and Language</w:t>
      </w:r>
      <w:r>
        <w:t xml:space="preserve">,</w:t>
      </w:r>
      <w:r>
        <w:t xml:space="preserve"> </w:t>
      </w:r>
      <w:r>
        <w:rPr>
          <w:i/>
          <w:iCs/>
        </w:rPr>
        <w:t xml:space="preserve">59</w:t>
      </w:r>
      <w:r>
        <w:t xml:space="preserve">(4), 495–523.</w:t>
      </w:r>
      <w:r>
        <w:t xml:space="preserve"> </w:t>
      </w:r>
      <w:hyperlink r:id="rId100">
        <w:r>
          <w:rPr>
            <w:rStyle w:val="Hyperlink"/>
          </w:rPr>
          <w:t xml:space="preserve">https://doi.org/10.1016/j.jml.2007.10.004</w:t>
        </w:r>
      </w:hyperlink>
    </w:p>
    <w:bookmarkEnd w:id="101"/>
    <w:bookmarkStart w:id="103" w:name="ref-julia"/>
    <w:p>
      <w:pPr>
        <w:pStyle w:val="Bibliography"/>
      </w:pPr>
      <w:r>
        <w:t xml:space="preserve">Bezanson, J., Edelman, A., Karpinski, S., &amp; Shah, V. B. (2017). Julia: A fresh approach to numerical computing.</w:t>
      </w:r>
      <w:r>
        <w:t xml:space="preserve"> </w:t>
      </w:r>
      <w:r>
        <w:rPr>
          <w:i/>
          <w:iCs/>
        </w:rPr>
        <w:t xml:space="preserve">SIAM Review</w:t>
      </w:r>
      <w:r>
        <w:t xml:space="preserve">,</w:t>
      </w:r>
      <w:r>
        <w:t xml:space="preserve"> </w:t>
      </w:r>
      <w:r>
        <w:rPr>
          <w:i/>
          <w:iCs/>
        </w:rPr>
        <w:t xml:space="preserve">59</w:t>
      </w:r>
      <w:r>
        <w:t xml:space="preserve">(1), 65–98.</w:t>
      </w:r>
      <w:r>
        <w:t xml:space="preserve"> </w:t>
      </w:r>
      <w:hyperlink r:id="rId102">
        <w:r>
          <w:rPr>
            <w:rStyle w:val="Hyperlink"/>
          </w:rPr>
          <w:t xml:space="preserve">https://doi.org/10.1137/141000671</w:t>
        </w:r>
      </w:hyperlink>
    </w:p>
    <w:bookmarkEnd w:id="103"/>
    <w:bookmarkStart w:id="105" w:name="ref-brms2017"/>
    <w:p>
      <w:pPr>
        <w:pStyle w:val="Bibliography"/>
      </w:pPr>
      <w:r>
        <w:t xml:space="preserve">Bürkner, P.-C. (2017).</w:t>
      </w:r>
      <w:r>
        <w:t xml:space="preserve"> </w:t>
      </w:r>
      <w:r>
        <w:t xml:space="preserve">brms</w:t>
      </w:r>
      <w:r>
        <w:t xml:space="preserve">: An</w:t>
      </w:r>
      <w:r>
        <w:t xml:space="preserve"> </w:t>
      </w:r>
      <w:r>
        <w:t xml:space="preserve">R</w:t>
      </w:r>
      <w:r>
        <w:t xml:space="preserve"> </w:t>
      </w:r>
      <w:r>
        <w:t xml:space="preserve">package for</w:t>
      </w:r>
      <w:r>
        <w:t xml:space="preserve"> </w:t>
      </w:r>
      <w:r>
        <w:t xml:space="preserve">Bayesian</w:t>
      </w:r>
      <w:r>
        <w:t xml:space="preserve"> </w:t>
      </w:r>
      <w:r>
        <w:t xml:space="preserve">multilevel models using</w:t>
      </w:r>
      <w:r>
        <w:t xml:space="preserve"> </w:t>
      </w:r>
      <w:r>
        <w:t xml:space="preserve">Stan</w:t>
      </w:r>
      <w:r>
        <w:t xml:space="preserve">.</w:t>
      </w:r>
      <w:r>
        <w:t xml:space="preserve"> </w:t>
      </w:r>
      <w:r>
        <w:rPr>
          <w:i/>
          <w:iCs/>
        </w:rPr>
        <w:t xml:space="preserve">Journal of Statistical Software</w:t>
      </w:r>
      <w:r>
        <w:t xml:space="preserve">,</w:t>
      </w:r>
      <w:r>
        <w:t xml:space="preserve"> </w:t>
      </w:r>
      <w:r>
        <w:rPr>
          <w:i/>
          <w:iCs/>
        </w:rPr>
        <w:t xml:space="preserve">80</w:t>
      </w:r>
      <w:r>
        <w:t xml:space="preserve">(1), 1–28.</w:t>
      </w:r>
      <w:r>
        <w:t xml:space="preserve"> </w:t>
      </w:r>
      <w:hyperlink r:id="rId104">
        <w:r>
          <w:rPr>
            <w:rStyle w:val="Hyperlink"/>
          </w:rPr>
          <w:t xml:space="preserve">https://doi.org/10.18637/jss.v080.i01</w:t>
        </w:r>
      </w:hyperlink>
    </w:p>
    <w:bookmarkEnd w:id="105"/>
    <w:bookmarkStart w:id="107" w:name="ref-brms2018"/>
    <w:p>
      <w:pPr>
        <w:pStyle w:val="Bibliography"/>
      </w:pPr>
      <w:r>
        <w:t xml:space="preserve">Bürkner, P.-C. (2018). Advanced</w:t>
      </w:r>
      <w:r>
        <w:t xml:space="preserve"> </w:t>
      </w:r>
      <w:r>
        <w:t xml:space="preserve">Bayesian</w:t>
      </w:r>
      <w:r>
        <w:t xml:space="preserve"> </w:t>
      </w:r>
      <w:r>
        <w:t xml:space="preserve">multilevel modeling with the</w:t>
      </w:r>
      <w:r>
        <w:t xml:space="preserve"> </w:t>
      </w:r>
      <w:r>
        <w:t xml:space="preserve">R</w:t>
      </w:r>
      <w:r>
        <w:t xml:space="preserve"> </w:t>
      </w:r>
      <w:r>
        <w:t xml:space="preserve">package</w:t>
      </w:r>
      <w:r>
        <w:t xml:space="preserve"> </w:t>
      </w:r>
      <w:r>
        <w:t xml:space="preserve">brms</w:t>
      </w:r>
      <w:r>
        <w:t xml:space="preserve">.</w:t>
      </w:r>
      <w:r>
        <w:t xml:space="preserve"> </w:t>
      </w:r>
      <w:r>
        <w:rPr>
          <w:i/>
          <w:iCs/>
        </w:rPr>
        <w:t xml:space="preserve">The R Journal</w:t>
      </w:r>
      <w:r>
        <w:t xml:space="preserve">,</w:t>
      </w:r>
      <w:r>
        <w:t xml:space="preserve"> </w:t>
      </w:r>
      <w:r>
        <w:rPr>
          <w:i/>
          <w:iCs/>
        </w:rPr>
        <w:t xml:space="preserve">10</w:t>
      </w:r>
      <w:r>
        <w:t xml:space="preserve">(1), 395–411.</w:t>
      </w:r>
      <w:r>
        <w:t xml:space="preserve"> </w:t>
      </w:r>
      <w:hyperlink r:id="rId106">
        <w:r>
          <w:rPr>
            <w:rStyle w:val="Hyperlink"/>
          </w:rPr>
          <w:t xml:space="preserve">https://doi.org/10.32614/RJ-2018-017</w:t>
        </w:r>
      </w:hyperlink>
    </w:p>
    <w:bookmarkEnd w:id="107"/>
    <w:bookmarkStart w:id="109" w:name="ref-brms2021"/>
    <w:p>
      <w:pPr>
        <w:pStyle w:val="Bibliography"/>
      </w:pPr>
      <w:r>
        <w:t xml:space="preserve">Bürkner, P.-C. (2021). Bayesian item response modeling in</w:t>
      </w:r>
      <w:r>
        <w:t xml:space="preserve"> </w:t>
      </w:r>
      <w:r>
        <w:t xml:space="preserve">R</w:t>
      </w:r>
      <w:r>
        <w:t xml:space="preserve"> </w:t>
      </w:r>
      <w:r>
        <w:t xml:space="preserve">with</w:t>
      </w:r>
      <w:r>
        <w:t xml:space="preserve"> </w:t>
      </w:r>
      <w:r>
        <w:t xml:space="preserve">brms</w:t>
      </w:r>
      <w:r>
        <w:t xml:space="preserve"> </w:t>
      </w:r>
      <w:r>
        <w:t xml:space="preserve">and</w:t>
      </w:r>
      <w:r>
        <w:t xml:space="preserve"> </w:t>
      </w:r>
      <w:r>
        <w:t xml:space="preserve">Stan</w:t>
      </w:r>
      <w:r>
        <w:t xml:space="preserve">.</w:t>
      </w:r>
      <w:r>
        <w:t xml:space="preserve"> </w:t>
      </w:r>
      <w:r>
        <w:rPr>
          <w:i/>
          <w:iCs/>
        </w:rPr>
        <w:t xml:space="preserve">Journal of Statistical Software</w:t>
      </w:r>
      <w:r>
        <w:t xml:space="preserve">,</w:t>
      </w:r>
      <w:r>
        <w:t xml:space="preserve"> </w:t>
      </w:r>
      <w:r>
        <w:rPr>
          <w:i/>
          <w:iCs/>
        </w:rPr>
        <w:t xml:space="preserve">100</w:t>
      </w:r>
      <w:r>
        <w:t xml:space="preserve">(5), 1–54.</w:t>
      </w:r>
      <w:r>
        <w:t xml:space="preserve"> </w:t>
      </w:r>
      <w:hyperlink r:id="rId108">
        <w:r>
          <w:rPr>
            <w:rStyle w:val="Hyperlink"/>
          </w:rPr>
          <w:t xml:space="preserve">https://doi.org/10.18637/jss.v100.i05</w:t>
        </w:r>
      </w:hyperlink>
    </w:p>
    <w:bookmarkEnd w:id="109"/>
    <w:bookmarkStart w:id="111" w:name="ref-stan"/>
    <w:p>
      <w:pPr>
        <w:pStyle w:val="Bibliography"/>
      </w:pPr>
      <w:r>
        <w:t xml:space="preserve">Carpenter, B., Gelman, A., Hoffman, M. D., Lee, D., Goodrich, B., Betancourt, M., Brubaker, M. A., Guo, J., Li, P., &amp; Riddell, A. (2017). Stan: A probabilistic programming language.</w:t>
      </w:r>
      <w:r>
        <w:t xml:space="preserve"> </w:t>
      </w:r>
      <w:r>
        <w:rPr>
          <w:i/>
          <w:iCs/>
        </w:rPr>
        <w:t xml:space="preserve">Journal of Statistical Software</w:t>
      </w:r>
      <w:r>
        <w:t xml:space="preserve">,</w:t>
      </w:r>
      <w:r>
        <w:t xml:space="preserve"> </w:t>
      </w:r>
      <w:r>
        <w:rPr>
          <w:i/>
          <w:iCs/>
        </w:rPr>
        <w:t xml:space="preserve">76</w:t>
      </w:r>
      <w:r>
        <w:t xml:space="preserve">(1), 1–32.</w:t>
      </w:r>
      <w:r>
        <w:t xml:space="preserve"> </w:t>
      </w:r>
      <w:hyperlink r:id="rId110">
        <w:r>
          <w:rPr>
            <w:rStyle w:val="Hyperlink"/>
          </w:rPr>
          <w:t xml:space="preserve">https://doi.org/10.18637/jss.v076.i01</w:t>
        </w:r>
      </w:hyperlink>
    </w:p>
    <w:bookmarkEnd w:id="111"/>
    <w:bookmarkStart w:id="113" w:name="ref-qs2"/>
    <w:p>
      <w:pPr>
        <w:pStyle w:val="Bibliography"/>
      </w:pPr>
      <w:r>
        <w:t xml:space="preserve">Ching, T. (2026).</w:t>
      </w:r>
      <w:r>
        <w:t xml:space="preserve"> </w:t>
      </w:r>
      <w:r>
        <w:rPr>
          <w:i/>
          <w:iCs/>
        </w:rPr>
        <w:t xml:space="preserve">qs2: Efficient serialization of r objects</w:t>
      </w:r>
      <w:r>
        <w:t xml:space="preserve">.</w:t>
      </w:r>
      <w:r>
        <w:t xml:space="preserve"> </w:t>
      </w:r>
      <w:hyperlink r:id="rId112">
        <w:r>
          <w:rPr>
            <w:rStyle w:val="Hyperlink"/>
          </w:rPr>
          <w:t xml:space="preserve">https://doi.org/10.32614/CRAN.package.qs2</w:t>
        </w:r>
      </w:hyperlink>
    </w:p>
    <w:bookmarkEnd w:id="113"/>
    <w:bookmarkStart w:id="114" w:name="ref-dewitt2018"/>
    <w:p>
      <w:pPr>
        <w:pStyle w:val="Bibliography"/>
      </w:pPr>
      <w:r>
        <w:t xml:space="preserve">Dewitt, S. H., Lagnado, D., &amp; Fenton, N. (2018).</w:t>
      </w:r>
      <w:r>
        <w:t xml:space="preserve"> </w:t>
      </w:r>
      <w:r>
        <w:rPr>
          <w:i/>
          <w:iCs/>
        </w:rPr>
        <w:t xml:space="preserve">Updating prior beliefs based on ambiguous evidence</w:t>
      </w:r>
      <w:r>
        <w:t xml:space="preserve"> </w:t>
      </w:r>
      <w:r>
        <w:t xml:space="preserve">(,. M. R. J. Z. Chuck Kalish &amp; T. Rogers, Eds.; p. 306311).</w:t>
      </w:r>
    </w:p>
    <w:bookmarkEnd w:id="114"/>
    <w:bookmarkStart w:id="116" w:name="ref-forster1998pros"/>
    <w:p>
      <w:pPr>
        <w:pStyle w:val="Bibliography"/>
      </w:pPr>
      <w:r>
        <w:t xml:space="preserve">Forster, K. I. (1998). The pros and cons of masked priming.</w:t>
      </w:r>
      <w:r>
        <w:t xml:space="preserve"> </w:t>
      </w:r>
      <w:r>
        <w:rPr>
          <w:i/>
          <w:iCs/>
        </w:rPr>
        <w:t xml:space="preserve">Journal of Psycholinguistic Research</w:t>
      </w:r>
      <w:r>
        <w:t xml:space="preserve">,</w:t>
      </w:r>
      <w:r>
        <w:t xml:space="preserve"> </w:t>
      </w:r>
      <w:r>
        <w:rPr>
          <w:i/>
          <w:iCs/>
        </w:rPr>
        <w:t xml:space="preserve">27</w:t>
      </w:r>
      <w:r>
        <w:t xml:space="preserve">(2), 203–233.</w:t>
      </w:r>
      <w:r>
        <w:t xml:space="preserve"> </w:t>
      </w:r>
      <w:hyperlink r:id="rId115">
        <w:r>
          <w:rPr>
            <w:rStyle w:val="Hyperlink"/>
          </w:rPr>
          <w:t xml:space="preserve">https://doi.org/10.1023/A:1023202116609</w:t>
        </w:r>
      </w:hyperlink>
    </w:p>
    <w:bookmarkEnd w:id="116"/>
    <w:bookmarkStart w:id="118" w:name="ref-forster1984"/>
    <w:p>
      <w:pPr>
        <w:pStyle w:val="Bibliography"/>
      </w:pPr>
      <w:r>
        <w:t xml:space="preserve">Forster, K. I., &amp; Davis, C. (1984). Repetition priming and frequency attenuation in lexical access.</w:t>
      </w:r>
      <w:r>
        <w:t xml:space="preserve"> </w:t>
      </w:r>
      <w:r>
        <w:rPr>
          <w:i/>
          <w:iCs/>
        </w:rPr>
        <w:t xml:space="preserve">Journal of Experimental Psychology: Learning, Memory, and Cognition</w:t>
      </w:r>
      <w:r>
        <w:t xml:space="preserve">,</w:t>
      </w:r>
      <w:r>
        <w:t xml:space="preserve"> </w:t>
      </w:r>
      <w:r>
        <w:rPr>
          <w:i/>
          <w:iCs/>
        </w:rPr>
        <w:t xml:space="preserve">10</w:t>
      </w:r>
      <w:r>
        <w:t xml:space="preserve">(4), 680–698.</w:t>
      </w:r>
      <w:r>
        <w:t xml:space="preserve"> </w:t>
      </w:r>
      <w:hyperlink r:id="rId117">
        <w:r>
          <w:rPr>
            <w:rStyle w:val="Hyperlink"/>
          </w:rPr>
          <w:t xml:space="preserve">https://doi.org/10.1037/0278-7393.10.4.680</w:t>
        </w:r>
      </w:hyperlink>
    </w:p>
    <w:bookmarkEnd w:id="118"/>
    <w:bookmarkStart w:id="120" w:name="ref-geller2025"/>
    <w:p>
      <w:pPr>
        <w:pStyle w:val="Bibliography"/>
      </w:pPr>
      <w:r>
        <w:t xml:space="preserve">Geller, J., Gómez, P., Buchanan, E. M., &amp; Makowski, D. (2025). A distributional response time analysis of the perceptual disfluency effect.</w:t>
      </w:r>
      <w:r>
        <w:t xml:space="preserve"> </w:t>
      </w:r>
      <w:r>
        <w:rPr>
          <w:i/>
          <w:iCs/>
        </w:rPr>
        <w:t xml:space="preserve">Journal of Cognition</w:t>
      </w:r>
      <w:r>
        <w:t xml:space="preserve">,</w:t>
      </w:r>
      <w:r>
        <w:t xml:space="preserve"> </w:t>
      </w:r>
      <w:r>
        <w:rPr>
          <w:i/>
          <w:iCs/>
        </w:rPr>
        <w:t xml:space="preserve">8</w:t>
      </w:r>
      <w:r>
        <w:t xml:space="preserve">(1), 50.</w:t>
      </w:r>
      <w:r>
        <w:t xml:space="preserve"> </w:t>
      </w:r>
      <w:hyperlink r:id="rId119">
        <w:r>
          <w:rPr>
            <w:rStyle w:val="Hyperlink"/>
          </w:rPr>
          <w:t xml:space="preserve">https://doi.org/10.5334/joc.469</w:t>
        </w:r>
      </w:hyperlink>
    </w:p>
    <w:bookmarkEnd w:id="120"/>
    <w:bookmarkStart w:id="122" w:name="ref-gigerenzer2018statistical"/>
    <w:p>
      <w:pPr>
        <w:pStyle w:val="Bibliography"/>
      </w:pPr>
      <w:r>
        <w:t xml:space="preserve">Gigerenzer, G. (2018). Statistical rituals: The replication delusion and how we got there.</w:t>
      </w:r>
      <w:r>
        <w:t xml:space="preserve"> </w:t>
      </w:r>
      <w:r>
        <w:rPr>
          <w:i/>
          <w:iCs/>
        </w:rPr>
        <w:t xml:space="preserve">Advances in Methods and Practices in Psychological Science</w:t>
      </w:r>
      <w:r>
        <w:t xml:space="preserve">,</w:t>
      </w:r>
      <w:r>
        <w:t xml:space="preserve"> </w:t>
      </w:r>
      <w:r>
        <w:rPr>
          <w:i/>
          <w:iCs/>
        </w:rPr>
        <w:t xml:space="preserve">1</w:t>
      </w:r>
      <w:r>
        <w:t xml:space="preserve">(2), 198–218.</w:t>
      </w:r>
      <w:r>
        <w:t xml:space="preserve"> </w:t>
      </w:r>
      <w:hyperlink r:id="rId121">
        <w:r>
          <w:rPr>
            <w:rStyle w:val="Hyperlink"/>
          </w:rPr>
          <w:t xml:space="preserve">https://doi.org/10.1177/2515245918771329</w:t>
        </w:r>
      </w:hyperlink>
    </w:p>
    <w:bookmarkEnd w:id="122"/>
    <w:bookmarkStart w:id="124" w:name="ref-fs"/>
    <w:p>
      <w:pPr>
        <w:pStyle w:val="Bibliography"/>
      </w:pPr>
      <w:r>
        <w:t xml:space="preserve">Hester, J., Wickham, H., &amp; Csárdi, G. (2026).</w:t>
      </w:r>
      <w:r>
        <w:t xml:space="preserve"> </w:t>
      </w:r>
      <w:r>
        <w:rPr>
          <w:i/>
          <w:iCs/>
        </w:rPr>
        <w:t xml:space="preserve">fs</w:t>
      </w:r>
      <w:r>
        <w:rPr>
          <w:i/>
          <w:iCs/>
        </w:rPr>
        <w:t xml:space="preserve">: Cross-platform file system operations based on</w:t>
      </w:r>
      <w:r>
        <w:rPr>
          <w:i/>
          <w:iCs/>
        </w:rPr>
        <w:t xml:space="preserve"> </w:t>
      </w:r>
      <w:r>
        <w:rPr>
          <w:i/>
          <w:iCs/>
        </w:rPr>
        <w:t xml:space="preserve">“</w:t>
      </w:r>
      <w:r>
        <w:rPr>
          <w:i/>
          <w:iCs/>
        </w:rPr>
        <w:t xml:space="preserve">libuv</w:t>
      </w:r>
      <w:r>
        <w:rPr>
          <w:i/>
          <w:iCs/>
        </w:rPr>
        <w:t xml:space="preserve">”</w:t>
      </w:r>
      <w:r>
        <w:t xml:space="preserve">.</w:t>
      </w:r>
      <w:r>
        <w:t xml:space="preserve"> </w:t>
      </w:r>
      <w:hyperlink r:id="rId123">
        <w:r>
          <w:rPr>
            <w:rStyle w:val="Hyperlink"/>
          </w:rPr>
          <w:t xml:space="preserve">https://doi.org/10.32614/CRAN.package.fs</w:t>
        </w:r>
      </w:hyperlink>
    </w:p>
    <w:bookmarkEnd w:id="124"/>
    <w:bookmarkStart w:id="126" w:name="ref-kane2003"/>
    <w:p>
      <w:pPr>
        <w:pStyle w:val="Bibliography"/>
      </w:pPr>
      <w:r>
        <w:t xml:space="preserve">Kane, M. J., &amp; Engle, R. W. (2003). Working-memory capacity and the control of attention: The contributions of goal neglect, response competition, and task set to stroop interference.</w:t>
      </w:r>
      <w:r>
        <w:t xml:space="preserve"> </w:t>
      </w:r>
      <w:r>
        <w:rPr>
          <w:i/>
          <w:iCs/>
        </w:rPr>
        <w:t xml:space="preserve">Journal of Experimental Psychology: General</w:t>
      </w:r>
      <w:r>
        <w:t xml:space="preserve">,</w:t>
      </w:r>
      <w:r>
        <w:t xml:space="preserve"> </w:t>
      </w:r>
      <w:r>
        <w:rPr>
          <w:i/>
          <w:iCs/>
        </w:rPr>
        <w:t xml:space="preserve">132</w:t>
      </w:r>
      <w:r>
        <w:t xml:space="preserve">(1), 47–70.</w:t>
      </w:r>
      <w:r>
        <w:t xml:space="preserve"> </w:t>
      </w:r>
      <w:hyperlink r:id="rId125">
        <w:r>
          <w:rPr>
            <w:rStyle w:val="Hyperlink"/>
          </w:rPr>
          <w:t xml:space="preserve">https://doi.org/10.1037/0096-3445.132.1.47</w:t>
        </w:r>
      </w:hyperlink>
    </w:p>
    <w:bookmarkEnd w:id="126"/>
    <w:bookmarkStart w:id="128" w:name="ref-ggdist2024"/>
    <w:p>
      <w:pPr>
        <w:pStyle w:val="Bibliography"/>
      </w:pPr>
      <w:r>
        <w:t xml:space="preserve">Kay, M. (2024).</w:t>
      </w:r>
      <w:r>
        <w:t xml:space="preserve"> </w:t>
      </w:r>
      <w:r>
        <w:t xml:space="preserve">ggdist</w:t>
      </w:r>
      <w:r>
        <w:t xml:space="preserve">: Visualizations of distributions and uncertainty in the grammar of graphics.</w:t>
      </w:r>
      <w:r>
        <w:t xml:space="preserve"> </w:t>
      </w:r>
      <w:r>
        <w:rPr>
          <w:i/>
          <w:iCs/>
        </w:rPr>
        <w:t xml:space="preserve">IEEE Transactions on Visualization and Computer Graphics</w:t>
      </w:r>
      <w:r>
        <w:t xml:space="preserve">,</w:t>
      </w:r>
      <w:r>
        <w:t xml:space="preserve"> </w:t>
      </w:r>
      <w:r>
        <w:rPr>
          <w:i/>
          <w:iCs/>
        </w:rPr>
        <w:t xml:space="preserve">30</w:t>
      </w:r>
      <w:r>
        <w:t xml:space="preserve">(1), 414–424.</w:t>
      </w:r>
      <w:r>
        <w:t xml:space="preserve"> </w:t>
      </w:r>
      <w:hyperlink r:id="rId127">
        <w:r>
          <w:rPr>
            <w:rStyle w:val="Hyperlink"/>
          </w:rPr>
          <w:t xml:space="preserve">https://doi.org/10.1109/TVCG.2023.3327195</w:t>
        </w:r>
      </w:hyperlink>
    </w:p>
    <w:bookmarkEnd w:id="128"/>
    <w:bookmarkStart w:id="130" w:name="ref-ggdist2025"/>
    <w:p>
      <w:pPr>
        <w:pStyle w:val="Bibliography"/>
      </w:pPr>
      <w:r>
        <w:t xml:space="preserve">Kay, M. (2025).</w:t>
      </w:r>
      <w:r>
        <w:t xml:space="preserve"> </w:t>
      </w:r>
      <w:r>
        <w:rPr>
          <w:i/>
          <w:iCs/>
        </w:rPr>
        <w:t xml:space="preserve">ggdist</w:t>
      </w:r>
      <w:r>
        <w:rPr>
          <w:i/>
          <w:iCs/>
        </w:rPr>
        <w:t xml:space="preserve">: Visualizations of distributions and uncertainty</w:t>
      </w:r>
      <w:r>
        <w:t xml:space="preserve">.</w:t>
      </w:r>
      <w:r>
        <w:t xml:space="preserve"> </w:t>
      </w:r>
      <w:hyperlink r:id="rId129">
        <w:r>
          <w:rPr>
            <w:rStyle w:val="Hyperlink"/>
          </w:rPr>
          <w:t xml:space="preserve">https://doi.org/10.5281/zenodo.3879620</w:t>
        </w:r>
      </w:hyperlink>
    </w:p>
    <w:bookmarkEnd w:id="130"/>
    <w:bookmarkStart w:id="132" w:name="ref-kinoshita2023"/>
    <w:p>
      <w:pPr>
        <w:pStyle w:val="Bibliography"/>
      </w:pPr>
      <w:r>
        <w:t xml:space="preserve">Kinoshita, S., &amp; Liong, G. (2023). Mirror letter priming is rightward-biased but not inhibitory: Little evidence for a mirror suppression mechanism in the recognition of mirror letters.</w:t>
      </w:r>
      <w:r>
        <w:t xml:space="preserve"> </w:t>
      </w:r>
      <w:r>
        <w:rPr>
          <w:i/>
          <w:iCs/>
        </w:rPr>
        <w:t xml:space="preserve">Journal of Experimental Psychology: Learning, Memory, and Cognition</w:t>
      </w:r>
      <w:r>
        <w:t xml:space="preserve">,</w:t>
      </w:r>
      <w:r>
        <w:t xml:space="preserve"> </w:t>
      </w:r>
      <w:r>
        <w:rPr>
          <w:i/>
          <w:iCs/>
        </w:rPr>
        <w:t xml:space="preserve">49</w:t>
      </w:r>
      <w:r>
        <w:t xml:space="preserve">(10), 1523–1538.</w:t>
      </w:r>
      <w:r>
        <w:t xml:space="preserve"> </w:t>
      </w:r>
      <w:hyperlink r:id="rId131">
        <w:r>
          <w:rPr>
            <w:rStyle w:val="Hyperlink"/>
          </w:rPr>
          <w:t xml:space="preserve">https://doi.org/10.1037/xlm0001239</w:t>
        </w:r>
      </w:hyperlink>
    </w:p>
    <w:bookmarkEnd w:id="132"/>
    <w:bookmarkStart w:id="134" w:name="ref-emmeans"/>
    <w:p>
      <w:pPr>
        <w:pStyle w:val="Bibliography"/>
      </w:pPr>
      <w:r>
        <w:t xml:space="preserve">Lenth, R. V., &amp; Piaskowski, J. (2026).</w:t>
      </w:r>
      <w:r>
        <w:t xml:space="preserve"> </w:t>
      </w:r>
      <w:r>
        <w:rPr>
          <w:i/>
          <w:iCs/>
        </w:rPr>
        <w:t xml:space="preserve">Emmeans: Estimated marginal means, aka least-squares means</w:t>
      </w:r>
      <w:r>
        <w:t xml:space="preserve">.</w:t>
      </w:r>
      <w:r>
        <w:t xml:space="preserve"> </w:t>
      </w:r>
      <w:hyperlink r:id="rId133">
        <w:r>
          <w:rPr>
            <w:rStyle w:val="Hyperlink"/>
          </w:rPr>
          <w:t xml:space="preserve">https://doi.org/10.32614/CRAN.package.emmeans</w:t>
        </w:r>
      </w:hyperlink>
    </w:p>
    <w:bookmarkEnd w:id="134"/>
    <w:bookmarkStart w:id="136" w:name="ref-parameters"/>
    <w:p>
      <w:pPr>
        <w:pStyle w:val="Bibliography"/>
      </w:pPr>
      <w:r>
        <w:t xml:space="preserve">Lüdecke, D., Ben-Shachar, M. S., Patil, I., &amp; Makowski, D. (2020). Extracting, computing and exploring the parameters of statistical models using</w:t>
      </w:r>
      <w:r>
        <w:t xml:space="preserve"> </w:t>
      </w:r>
      <w:r>
        <w:t xml:space="preserve">R</w:t>
      </w:r>
      <w:r>
        <w:t xml:space="preserve">.</w:t>
      </w:r>
      <w:r>
        <w:t xml:space="preserve"> </w:t>
      </w:r>
      <w:r>
        <w:rPr>
          <w:i/>
          <w:iCs/>
        </w:rPr>
        <w:t xml:space="preserve">Journal of Open Source Software</w:t>
      </w:r>
      <w:r>
        <w:t xml:space="preserve">,</w:t>
      </w:r>
      <w:r>
        <w:t xml:space="preserve"> </w:t>
      </w:r>
      <w:r>
        <w:rPr>
          <w:i/>
          <w:iCs/>
        </w:rPr>
        <w:t xml:space="preserve">5</w:t>
      </w:r>
      <w:r>
        <w:t xml:space="preserve">(53), 2445.</w:t>
      </w:r>
      <w:r>
        <w:t xml:space="preserve"> </w:t>
      </w:r>
      <w:hyperlink r:id="rId135">
        <w:r>
          <w:rPr>
            <w:rStyle w:val="Hyperlink"/>
          </w:rPr>
          <w:t xml:space="preserve">https://doi.org/10.21105/joss.02445</w:t>
        </w:r>
      </w:hyperlink>
    </w:p>
    <w:bookmarkEnd w:id="136"/>
    <w:bookmarkStart w:id="138" w:name="ref-ludecke2019insight"/>
    <w:p>
      <w:pPr>
        <w:pStyle w:val="Bibliography"/>
      </w:pPr>
      <w:r>
        <w:t xml:space="preserve">Lüdecke, D., Waggoner, P. D., &amp; Makowski, D. (2019).</w:t>
      </w:r>
      <w:r>
        <w:t xml:space="preserve"> </w:t>
      </w:r>
      <w:r>
        <w:t xml:space="preserve">insight</w:t>
      </w:r>
      <w:r>
        <w:t xml:space="preserve">: A unified interface to access information from model objects in</w:t>
      </w:r>
      <w:r>
        <w:t xml:space="preserve"> </w:t>
      </w:r>
      <w:r>
        <w:t xml:space="preserve">R</w:t>
      </w:r>
      <w:r>
        <w:t xml:space="preserve">.</w:t>
      </w:r>
      <w:r>
        <w:t xml:space="preserve"> </w:t>
      </w:r>
      <w:r>
        <w:rPr>
          <w:i/>
          <w:iCs/>
        </w:rPr>
        <w:t xml:space="preserve">Journal of Open Source Software</w:t>
      </w:r>
      <w:r>
        <w:t xml:space="preserve">,</w:t>
      </w:r>
      <w:r>
        <w:t xml:space="preserve"> </w:t>
      </w:r>
      <w:r>
        <w:rPr>
          <w:i/>
          <w:iCs/>
        </w:rPr>
        <w:t xml:space="preserve">4</w:t>
      </w:r>
      <w:r>
        <w:t xml:space="preserve">(38), 1412.</w:t>
      </w:r>
      <w:r>
        <w:t xml:space="preserve"> </w:t>
      </w:r>
      <w:hyperlink r:id="rId137">
        <w:r>
          <w:rPr>
            <w:rStyle w:val="Hyperlink"/>
          </w:rPr>
          <w:t xml:space="preserve">https://doi.org/10.21105/joss.01412</w:t>
        </w:r>
      </w:hyperlink>
    </w:p>
    <w:bookmarkEnd w:id="138"/>
    <w:bookmarkStart w:id="140" w:name="ref-makowski2026cogmod"/>
    <w:p>
      <w:pPr>
        <w:pStyle w:val="Bibliography"/>
      </w:pPr>
      <w:r>
        <w:t xml:space="preserve">Makowski, D. (2026).</w:t>
      </w:r>
      <w:r>
        <w:t xml:space="preserve"> </w:t>
      </w:r>
      <w:r>
        <w:rPr>
          <w:i/>
          <w:iCs/>
        </w:rPr>
        <w:t xml:space="preserve">cogmod</w:t>
      </w:r>
      <w:r>
        <w:rPr>
          <w:i/>
          <w:iCs/>
        </w:rPr>
        <w:t xml:space="preserve">: Cognitive models for response time and choice data</w:t>
      </w:r>
      <w:r>
        <w:t xml:space="preserve">.</w:t>
      </w:r>
      <w:r>
        <w:t xml:space="preserve"> </w:t>
      </w:r>
      <w:hyperlink r:id="rId139">
        <w:r>
          <w:rPr>
            <w:rStyle w:val="Hyperlink"/>
          </w:rPr>
          <w:t xml:space="preserve">https://github.com/DominiqueMakowski/cogmod</w:t>
        </w:r>
      </w:hyperlink>
    </w:p>
    <w:bookmarkEnd w:id="140"/>
    <w:bookmarkStart w:id="142" w:name="ref-bayestestR"/>
    <w:p>
      <w:pPr>
        <w:pStyle w:val="Bibliography"/>
      </w:pPr>
      <w:r>
        <w:t xml:space="preserve">Makowski, D., Ben-Shachar, M. S., &amp; Lüdecke, D. (2019).</w:t>
      </w:r>
      <w:r>
        <w:t xml:space="preserve"> </w:t>
      </w:r>
      <w:r>
        <w:t xml:space="preserve">bayestestR</w:t>
      </w:r>
      <w:r>
        <w:t xml:space="preserve">: Describing effects and their uncertainty, existence and significance within the bayesian framework.</w:t>
      </w:r>
      <w:r>
        <w:t xml:space="preserve"> </w:t>
      </w:r>
      <w:r>
        <w:rPr>
          <w:i/>
          <w:iCs/>
        </w:rPr>
        <w:t xml:space="preserve">Journal of Open Source Software</w:t>
      </w:r>
      <w:r>
        <w:t xml:space="preserve">,</w:t>
      </w:r>
      <w:r>
        <w:t xml:space="preserve"> </w:t>
      </w:r>
      <w:r>
        <w:rPr>
          <w:i/>
          <w:iCs/>
        </w:rPr>
        <w:t xml:space="preserve">4</w:t>
      </w:r>
      <w:r>
        <w:t xml:space="preserve">(40), 1541.</w:t>
      </w:r>
      <w:r>
        <w:t xml:space="preserve"> </w:t>
      </w:r>
      <w:hyperlink r:id="rId141">
        <w:r>
          <w:rPr>
            <w:rStyle w:val="Hyperlink"/>
          </w:rPr>
          <w:t xml:space="preserve">https://doi.org/10.21105/joss.01541</w:t>
        </w:r>
      </w:hyperlink>
    </w:p>
    <w:bookmarkEnd w:id="142"/>
    <w:bookmarkStart w:id="144" w:name="ref-makowski2025modelbased"/>
    <w:p>
      <w:pPr>
        <w:pStyle w:val="Bibliography"/>
      </w:pPr>
      <w:r>
        <w:t xml:space="preserve">Makowski, D., Ben-Shachar, M. S., Wiernik, B. M., Patil, I., Thériault, R., &amp; Lüdecke, D. (2025).</w:t>
      </w:r>
      <w:r>
        <w:t xml:space="preserve"> </w:t>
      </w:r>
      <w:r>
        <w:t xml:space="preserve">modelbased</w:t>
      </w:r>
      <w:r>
        <w:t xml:space="preserve">: An</w:t>
      </w:r>
      <w:r>
        <w:t xml:space="preserve"> </w:t>
      </w:r>
      <w:r>
        <w:t xml:space="preserve">R</w:t>
      </w:r>
      <w:r>
        <w:t xml:space="preserve"> </w:t>
      </w:r>
      <w:r>
        <w:t xml:space="preserve">package to make the most out of your statistical models through marginal means, marginal effects, and model predictions.</w:t>
      </w:r>
      <w:r>
        <w:t xml:space="preserve"> </w:t>
      </w:r>
      <w:r>
        <w:rPr>
          <w:i/>
          <w:iCs/>
        </w:rPr>
        <w:t xml:space="preserve">Journal of Open Source Software</w:t>
      </w:r>
      <w:r>
        <w:t xml:space="preserve">,</w:t>
      </w:r>
      <w:r>
        <w:t xml:space="preserve"> </w:t>
      </w:r>
      <w:r>
        <w:rPr>
          <w:i/>
          <w:iCs/>
        </w:rPr>
        <w:t xml:space="preserve">10</w:t>
      </w:r>
      <w:r>
        <w:t xml:space="preserve">(109), 7969.</w:t>
      </w:r>
      <w:r>
        <w:t xml:space="preserve"> </w:t>
      </w:r>
      <w:hyperlink r:id="rId143">
        <w:r>
          <w:rPr>
            <w:rStyle w:val="Hyperlink"/>
          </w:rPr>
          <w:t xml:space="preserve">https://doi.org/10.21105/joss.07969</w:t>
        </w:r>
      </w:hyperlink>
    </w:p>
    <w:bookmarkEnd w:id="144"/>
    <w:bookmarkStart w:id="146" w:name="ref-matzke2009"/>
    <w:p>
      <w:pPr>
        <w:pStyle w:val="Bibliography"/>
      </w:pPr>
      <w:r>
        <w:t xml:space="preserve">Matzke, D., &amp; Wagenmakers, E.-J. (2009). Psychological interpretation of the ex-gaussian and shifted wald parameters: A diffusion model analysis.</w:t>
      </w:r>
      <w:r>
        <w:t xml:space="preserve"> </w:t>
      </w:r>
      <w:r>
        <w:rPr>
          <w:i/>
          <w:iCs/>
        </w:rPr>
        <w:t xml:space="preserve">Psychonomic Bulletin &amp; Review</w:t>
      </w:r>
      <w:r>
        <w:t xml:space="preserve">,</w:t>
      </w:r>
      <w:r>
        <w:t xml:space="preserve"> </w:t>
      </w:r>
      <w:r>
        <w:rPr>
          <w:i/>
          <w:iCs/>
        </w:rPr>
        <w:t xml:space="preserve">16</w:t>
      </w:r>
      <w:r>
        <w:t xml:space="preserve">(5), 798817.</w:t>
      </w:r>
      <w:r>
        <w:t xml:space="preserve"> </w:t>
      </w:r>
      <w:hyperlink r:id="rId145">
        <w:r>
          <w:rPr>
            <w:rStyle w:val="Hyperlink"/>
          </w:rPr>
          <w:t xml:space="preserve">https://doi.org/10.3758/PBR.16.5.798</w:t>
        </w:r>
      </w:hyperlink>
    </w:p>
    <w:bookmarkEnd w:id="146"/>
    <w:bookmarkStart w:id="148" w:name="ref-here"/>
    <w:p>
      <w:pPr>
        <w:pStyle w:val="Bibliography"/>
      </w:pPr>
      <w:r>
        <w:t xml:space="preserve">Müller, K. (2025).</w:t>
      </w:r>
      <w:r>
        <w:t xml:space="preserve"> </w:t>
      </w:r>
      <w:r>
        <w:rPr>
          <w:i/>
          <w:iCs/>
        </w:rPr>
        <w:t xml:space="preserve">here</w:t>
      </w:r>
      <w:r>
        <w:rPr>
          <w:i/>
          <w:iCs/>
        </w:rPr>
        <w:t xml:space="preserve">: A simpler way to find your files</w:t>
      </w:r>
      <w:r>
        <w:t xml:space="preserve">.</w:t>
      </w:r>
      <w:r>
        <w:t xml:space="preserve"> </w:t>
      </w:r>
      <w:hyperlink r:id="rId147">
        <w:r>
          <w:rPr>
            <w:rStyle w:val="Hyperlink"/>
          </w:rPr>
          <w:t xml:space="preserve">https://doi.org/10.32614/CRAN.package.here</w:t>
        </w:r>
      </w:hyperlink>
    </w:p>
    <w:bookmarkEnd w:id="148"/>
    <w:bookmarkStart w:id="150" w:name="ref-patchwork"/>
    <w:p>
      <w:pPr>
        <w:pStyle w:val="Bibliography"/>
      </w:pPr>
      <w:r>
        <w:t xml:space="preserve">Pedersen, T. L. (2025).</w:t>
      </w:r>
      <w:r>
        <w:t xml:space="preserve"> </w:t>
      </w:r>
      <w:r>
        <w:rPr>
          <w:i/>
          <w:iCs/>
        </w:rPr>
        <w:t xml:space="preserve">patchwork</w:t>
      </w:r>
      <w:r>
        <w:rPr>
          <w:i/>
          <w:iCs/>
        </w:rPr>
        <w:t xml:space="preserve">: The composer of plots</w:t>
      </w:r>
      <w:r>
        <w:t xml:space="preserve">.</w:t>
      </w:r>
      <w:r>
        <w:t xml:space="preserve"> </w:t>
      </w:r>
      <w:hyperlink r:id="rId149">
        <w:r>
          <w:rPr>
            <w:rStyle w:val="Hyperlink"/>
          </w:rPr>
          <w:t xml:space="preserve">https://doi.org/10.32614/CRAN.package.patchwork</w:t>
        </w:r>
      </w:hyperlink>
    </w:p>
    <w:bookmarkEnd w:id="150"/>
    <w:bookmarkStart w:id="152" w:name="ref-ragg"/>
    <w:p>
      <w:pPr>
        <w:pStyle w:val="Bibliography"/>
      </w:pPr>
      <w:r>
        <w:t xml:space="preserve">Pedersen, T. L., &amp; Shemanarev, M. (2026).</w:t>
      </w:r>
      <w:r>
        <w:t xml:space="preserve"> </w:t>
      </w:r>
      <w:r>
        <w:rPr>
          <w:i/>
          <w:iCs/>
        </w:rPr>
        <w:t xml:space="preserve">Ragg: Graphic devices based on AGG</w:t>
      </w:r>
      <w:r>
        <w:t xml:space="preserve">.</w:t>
      </w:r>
      <w:r>
        <w:t xml:space="preserve"> </w:t>
      </w:r>
      <w:hyperlink r:id="rId151">
        <w:r>
          <w:rPr>
            <w:rStyle w:val="Hyperlink"/>
          </w:rPr>
          <w:t xml:space="preserve">https://doi.org/10.32614/CRAN.package.ragg</w:t>
        </w:r>
      </w:hyperlink>
    </w:p>
    <w:bookmarkEnd w:id="152"/>
    <w:bookmarkStart w:id="154" w:name="ref-peirce2019"/>
    <w:p>
      <w:pPr>
        <w:pStyle w:val="Bibliography"/>
      </w:pPr>
      <w:r>
        <w:t xml:space="preserve">Peirce, J., Gray, J. R., Simpson, S., MacAskill, M., Höchenberger, R., Sogo, H., Kastman, E., &amp; Lindeløv, J. K. (2019). PsychoPy2: Experiments in behavior made easy.</w:t>
      </w:r>
      <w:r>
        <w:t xml:space="preserve"> </w:t>
      </w:r>
      <w:r>
        <w:rPr>
          <w:i/>
          <w:iCs/>
        </w:rPr>
        <w:t xml:space="preserve">Behavior Research Methods</w:t>
      </w:r>
      <w:r>
        <w:t xml:space="preserve">,</w:t>
      </w:r>
      <w:r>
        <w:t xml:space="preserve"> </w:t>
      </w:r>
      <w:r>
        <w:rPr>
          <w:i/>
          <w:iCs/>
        </w:rPr>
        <w:t xml:space="preserve">51</w:t>
      </w:r>
      <w:r>
        <w:t xml:space="preserve">(1), 195–203.</w:t>
      </w:r>
      <w:r>
        <w:t xml:space="preserve"> </w:t>
      </w:r>
      <w:hyperlink r:id="rId153">
        <w:r>
          <w:rPr>
            <w:rStyle w:val="Hyperlink"/>
          </w:rPr>
          <w:t xml:space="preserve">https://doi.org/10.3758/s13428-018-01193-y</w:t>
        </w:r>
      </w:hyperlink>
    </w:p>
    <w:bookmarkEnd w:id="154"/>
    <w:bookmarkStart w:id="156" w:name="ref-pfadt2025methodological"/>
    <w:p>
      <w:pPr>
        <w:pStyle w:val="Bibliography"/>
      </w:pPr>
      <w:r>
        <w:t xml:space="preserve">Pfadt, J. M., Bartoš, F., Godmann, H. R., Waaijers, M., Groot, L., Heo, I., et al. (2025). A methodological metamorphosis: The rapid rise of bayesian inference and open science practices in psychology.</w:t>
      </w:r>
      <w:r>
        <w:t xml:space="preserve"> </w:t>
      </w:r>
      <w:r>
        <w:rPr>
          <w:i/>
          <w:iCs/>
        </w:rPr>
        <w:t xml:space="preserve">PsyArXiv</w:t>
      </w:r>
      <w:r>
        <w:t xml:space="preserve">.</w:t>
      </w:r>
      <w:r>
        <w:t xml:space="preserve"> </w:t>
      </w:r>
      <w:hyperlink r:id="rId155">
        <w:r>
          <w:rPr>
            <w:rStyle w:val="Hyperlink"/>
          </w:rPr>
          <w:t xml:space="preserve">https://doi.org/10.31234/osf.io/ck3js_v1</w:t>
        </w:r>
      </w:hyperlink>
    </w:p>
    <w:bookmarkEnd w:id="156"/>
    <w:bookmarkStart w:id="158" w:name="ref-R"/>
    <w:p>
      <w:pPr>
        <w:pStyle w:val="Bibliography"/>
      </w:pPr>
      <w:r>
        <w:t xml:space="preserve">R Core Team. (2026).</w:t>
      </w:r>
      <w:r>
        <w:t xml:space="preserve"> </w:t>
      </w:r>
      <w:r>
        <w:rPr>
          <w:i/>
          <w:iCs/>
        </w:rPr>
        <w:t xml:space="preserve">R: A language and environment for statistical computing</w:t>
      </w:r>
      <w:r>
        <w:t xml:space="preserve">. R Foundation for Statistical Computing.</w:t>
      </w:r>
      <w:r>
        <w:t xml:space="preserve"> </w:t>
      </w:r>
      <w:hyperlink r:id="rId157">
        <w:r>
          <w:rPr>
            <w:rStyle w:val="Hyperlink"/>
          </w:rPr>
          <w:t xml:space="preserve">https://doi.org/10.32614/r.manuals</w:t>
        </w:r>
      </w:hyperlink>
    </w:p>
    <w:bookmarkEnd w:id="158"/>
    <w:bookmarkStart w:id="160" w:name="ref-ratcliff1976"/>
    <w:p>
      <w:pPr>
        <w:pStyle w:val="Bibliography"/>
      </w:pPr>
      <w:r>
        <w:t xml:space="preserve">Ratcliff, R., &amp; Murdock, B. B. (1976). Retrieval processes in recognition memory.</w:t>
      </w:r>
      <w:r>
        <w:t xml:space="preserve"> </w:t>
      </w:r>
      <w:r>
        <w:rPr>
          <w:i/>
          <w:iCs/>
        </w:rPr>
        <w:t xml:space="preserve">Psychological Review</w:t>
      </w:r>
      <w:r>
        <w:t xml:space="preserve">,</w:t>
      </w:r>
      <w:r>
        <w:t xml:space="preserve"> </w:t>
      </w:r>
      <w:r>
        <w:rPr>
          <w:i/>
          <w:iCs/>
        </w:rPr>
        <w:t xml:space="preserve">83</w:t>
      </w:r>
      <w:r>
        <w:t xml:space="preserve">(3), 190–214.</w:t>
      </w:r>
      <w:r>
        <w:t xml:space="preserve"> </w:t>
      </w:r>
      <w:hyperlink r:id="rId159">
        <w:r>
          <w:rPr>
            <w:rStyle w:val="Hyperlink"/>
          </w:rPr>
          <w:t xml:space="preserve">https://doi.org/10.1037/0033-295X.83.3.190</w:t>
        </w:r>
      </w:hyperlink>
    </w:p>
    <w:bookmarkEnd w:id="160"/>
    <w:bookmarkStart w:id="162" w:name="ref-rix"/>
    <w:p>
      <w:pPr>
        <w:pStyle w:val="Bibliography"/>
      </w:pPr>
      <w:r>
        <w:t xml:space="preserve">Rodrigues, B., &amp; Baumann, P. (2026).</w:t>
      </w:r>
      <w:r>
        <w:t xml:space="preserve"> </w:t>
      </w:r>
      <w:r>
        <w:rPr>
          <w:i/>
          <w:iCs/>
        </w:rPr>
        <w:t xml:space="preserve">Rix: Reproducible data science environments with ’nix’</w:t>
      </w:r>
      <w:r>
        <w:t xml:space="preserve">.</w:t>
      </w:r>
      <w:r>
        <w:t xml:space="preserve"> </w:t>
      </w:r>
      <w:hyperlink r:id="rId161">
        <w:r>
          <w:rPr>
            <w:rStyle w:val="Hyperlink"/>
          </w:rPr>
          <w:t xml:space="preserve">https://docs.ropensci.org/rix/</w:t>
        </w:r>
      </w:hyperlink>
    </w:p>
    <w:bookmarkEnd w:id="162"/>
    <w:bookmarkStart w:id="164" w:name="ref-serranocarot2026"/>
    <w:p>
      <w:pPr>
        <w:pStyle w:val="Bibliography"/>
      </w:pPr>
      <w:r>
        <w:t xml:space="preserve">Serrano-Carot, M., Gómez, P., &amp; Angele, B. (2026). Articles as flankers: The effect of grammatical gender depends on the task.</w:t>
      </w:r>
      <w:r>
        <w:t xml:space="preserve"> </w:t>
      </w:r>
      <w:r>
        <w:rPr>
          <w:i/>
          <w:iCs/>
        </w:rPr>
        <w:t xml:space="preserve">Language, Cognition and Neuroscience</w:t>
      </w:r>
      <w:r>
        <w:t xml:space="preserve">,</w:t>
      </w:r>
      <w:r>
        <w:t xml:space="preserve"> </w:t>
      </w:r>
      <w:r>
        <w:rPr>
          <w:i/>
          <w:iCs/>
        </w:rPr>
        <w:t xml:space="preserve">41</w:t>
      </w:r>
      <w:r>
        <w:t xml:space="preserve">(5), 676–698.</w:t>
      </w:r>
      <w:r>
        <w:t xml:space="preserve"> </w:t>
      </w:r>
      <w:hyperlink r:id="rId163">
        <w:r>
          <w:rPr>
            <w:rStyle w:val="Hyperlink"/>
          </w:rPr>
          <w:t xml:space="preserve">https://doi.org/10.1080/23273798.2026.2657830</w:t>
        </w:r>
      </w:hyperlink>
    </w:p>
    <w:bookmarkEnd w:id="164"/>
    <w:bookmarkStart w:id="165" w:name="ref-python"/>
    <w:p>
      <w:pPr>
        <w:pStyle w:val="Bibliography"/>
      </w:pPr>
      <w:r>
        <w:t xml:space="preserve">Van Rossum, G., &amp; Drake, F. L. (2009).</w:t>
      </w:r>
      <w:r>
        <w:t xml:space="preserve"> </w:t>
      </w:r>
      <w:r>
        <w:rPr>
          <w:i/>
          <w:iCs/>
        </w:rPr>
        <w:t xml:space="preserve">Python 3 reference manual</w:t>
      </w:r>
      <w:r>
        <w:t xml:space="preserve">. CreateSpace.</w:t>
      </w:r>
    </w:p>
    <w:bookmarkEnd w:id="165"/>
    <w:bookmarkStart w:id="167" w:name="ref-vazire2018"/>
    <w:p>
      <w:pPr>
        <w:pStyle w:val="Bibliography"/>
      </w:pPr>
      <w:r>
        <w:t xml:space="preserve">Vazire, S. (2018). Implications of the credibility revolution for productivity, creativity, and progress.</w:t>
      </w:r>
      <w:r>
        <w:t xml:space="preserve"> </w:t>
      </w:r>
      <w:r>
        <w:rPr>
          <w:i/>
          <w:iCs/>
        </w:rPr>
        <w:t xml:space="preserve">Perspectives on Psychological Science</w:t>
      </w:r>
      <w:r>
        <w:t xml:space="preserve">,</w:t>
      </w:r>
      <w:r>
        <w:t xml:space="preserve"> </w:t>
      </w:r>
      <w:r>
        <w:rPr>
          <w:i/>
          <w:iCs/>
        </w:rPr>
        <w:t xml:space="preserve">13</w:t>
      </w:r>
      <w:r>
        <w:t xml:space="preserve">(4), 411–417.</w:t>
      </w:r>
      <w:r>
        <w:t xml:space="preserve"> </w:t>
      </w:r>
      <w:hyperlink r:id="rId166">
        <w:r>
          <w:rPr>
            <w:rStyle w:val="Hyperlink"/>
          </w:rPr>
          <w:t xml:space="preserve">https://doi.org/10.1177/1745691617751884</w:t>
        </w:r>
      </w:hyperlink>
    </w:p>
    <w:bookmarkEnd w:id="167"/>
    <w:bookmarkStart w:id="169" w:name="ref-whelan2008"/>
    <w:p>
      <w:pPr>
        <w:pStyle w:val="Bibliography"/>
      </w:pPr>
      <w:r>
        <w:t xml:space="preserve">Whelan, R. (2008). Effective analysis of reaction time data.</w:t>
      </w:r>
      <w:r>
        <w:t xml:space="preserve"> </w:t>
      </w:r>
      <w:r>
        <w:rPr>
          <w:i/>
          <w:iCs/>
        </w:rPr>
        <w:t xml:space="preserve">The Psychological Record</w:t>
      </w:r>
      <w:r>
        <w:t xml:space="preserve">,</w:t>
      </w:r>
      <w:r>
        <w:t xml:space="preserve"> </w:t>
      </w:r>
      <w:r>
        <w:rPr>
          <w:i/>
          <w:iCs/>
        </w:rPr>
        <w:t xml:space="preserve">58</w:t>
      </w:r>
      <w:r>
        <w:t xml:space="preserve">(3), 475–482.</w:t>
      </w:r>
      <w:r>
        <w:t xml:space="preserve"> </w:t>
      </w:r>
      <w:hyperlink r:id="rId168">
        <w:r>
          <w:rPr>
            <w:rStyle w:val="Hyperlink"/>
          </w:rPr>
          <w:t xml:space="preserve">https://doi.org/10.1007/BF03395630</w:t>
        </w:r>
      </w:hyperlink>
    </w:p>
    <w:bookmarkEnd w:id="169"/>
    <w:bookmarkStart w:id="171" w:name="ref-tidyverse"/>
    <w:p>
      <w:pPr>
        <w:pStyle w:val="Bibliography"/>
      </w:pPr>
      <w:r>
        <w:t xml:space="preserve">Wickham, H., Averick, M., Bryan, J., Chang, W., McGowan, L. D., François, R., Grolemund, G., Hayes, A., Henry, L., Hester, J., Kuhn, M., Pedersen, T. L., Miller, E., Bache, S. M., Müller, K., Ooms, J., Robinson, D., Seidel, D. P., Spinu, V., … Yutani, H. (2019). Welcome to the</w:t>
      </w:r>
      <w:r>
        <w:t xml:space="preserve"> </w:t>
      </w:r>
      <w:r>
        <w:t xml:space="preserve">tidyverse</w:t>
      </w:r>
      <w:r>
        <w:t xml:space="preserve">.</w:t>
      </w:r>
      <w:r>
        <w:t xml:space="preserve"> </w:t>
      </w:r>
      <w:r>
        <w:rPr>
          <w:i/>
          <w:iCs/>
        </w:rPr>
        <w:t xml:space="preserve">Journal of Open Source Software</w:t>
      </w:r>
      <w:r>
        <w:t xml:space="preserve">,</w:t>
      </w:r>
      <w:r>
        <w:t xml:space="preserve"> </w:t>
      </w:r>
      <w:r>
        <w:rPr>
          <w:i/>
          <w:iCs/>
        </w:rPr>
        <w:t xml:space="preserve">4</w:t>
      </w:r>
      <w:r>
        <w:t xml:space="preserve">(43), 1686.</w:t>
      </w:r>
      <w:r>
        <w:t xml:space="preserve"> </w:t>
      </w:r>
      <w:hyperlink r:id="rId170">
        <w:r>
          <w:rPr>
            <w:rStyle w:val="Hyperlink"/>
          </w:rPr>
          <w:t xml:space="preserve">https://doi.org/10.21105/joss.01686</w:t>
        </w:r>
      </w:hyperlink>
    </w:p>
    <w:bookmarkEnd w:id="171"/>
    <w:bookmarkStart w:id="173" w:name="ref-wilcox"/>
    <w:p>
      <w:pPr>
        <w:pStyle w:val="Bibliography"/>
      </w:pPr>
      <w:r>
        <w:t xml:space="preserve">Wilcox, R. R., &amp; Keselman, H. J. (2003). Modern robust data analysis methods: Measures of central tendency.</w:t>
      </w:r>
      <w:r>
        <w:t xml:space="preserve"> </w:t>
      </w:r>
      <w:r>
        <w:rPr>
          <w:i/>
          <w:iCs/>
        </w:rPr>
        <w:t xml:space="preserve">Psychological Methods</w:t>
      </w:r>
      <w:r>
        <w:t xml:space="preserve">,</w:t>
      </w:r>
      <w:r>
        <w:t xml:space="preserve"> </w:t>
      </w:r>
      <w:r>
        <w:rPr>
          <w:i/>
          <w:iCs/>
        </w:rPr>
        <w:t xml:space="preserve">8</w:t>
      </w:r>
      <w:r>
        <w:t xml:space="preserve">(3), 254274.</w:t>
      </w:r>
      <w:r>
        <w:t xml:space="preserve"> </w:t>
      </w:r>
      <w:hyperlink r:id="rId172">
        <w:r>
          <w:rPr>
            <w:rStyle w:val="Hyperlink"/>
          </w:rPr>
          <w:t xml:space="preserve">https://doi.org/10.1037/1082-989X.8.3.254</w:t>
        </w:r>
      </w:hyperlink>
    </w:p>
    <w:bookmarkEnd w:id="173"/>
    <w:bookmarkStart w:id="175" w:name="ref-rmarkdown2018"/>
    <w:p>
      <w:pPr>
        <w:pStyle w:val="Bibliography"/>
      </w:pPr>
      <w:r>
        <w:t xml:space="preserve">Xie, Y., Allaire, J. J., &amp; Grolemund, G. (2018).</w:t>
      </w:r>
      <w:r>
        <w:t xml:space="preserve"> </w:t>
      </w:r>
      <w:r>
        <w:rPr>
          <w:i/>
          <w:iCs/>
        </w:rPr>
        <w:t xml:space="preserve">R markdown: The definitive guide</w:t>
      </w:r>
      <w:r>
        <w:t xml:space="preserve">. Chapman; Hall/CRC.</w:t>
      </w:r>
      <w:r>
        <w:t xml:space="preserve"> </w:t>
      </w:r>
      <w:hyperlink r:id="rId174">
        <w:r>
          <w:rPr>
            <w:rStyle w:val="Hyperlink"/>
          </w:rPr>
          <w:t xml:space="preserve">https://yihui.org/rmarkdown/</w:t>
        </w:r>
      </w:hyperlink>
    </w:p>
    <w:bookmarkEnd w:id="175"/>
    <w:bookmarkStart w:id="177" w:name="ref-rmarkdown2020"/>
    <w:p>
      <w:pPr>
        <w:pStyle w:val="Bibliography"/>
      </w:pPr>
      <w:r>
        <w:t xml:space="preserve">Xie, Y., Dervieux, C., &amp; Riederer, E. (2020).</w:t>
      </w:r>
      <w:r>
        <w:t xml:space="preserve"> </w:t>
      </w:r>
      <w:r>
        <w:rPr>
          <w:i/>
          <w:iCs/>
        </w:rPr>
        <w:t xml:space="preserve">R markdown cookbook</w:t>
      </w:r>
      <w:r>
        <w:t xml:space="preserve">. Chapman; Hall/CRC.</w:t>
      </w:r>
      <w:r>
        <w:t xml:space="preserve"> </w:t>
      </w:r>
      <w:hyperlink r:id="rId176">
        <w:r>
          <w:rPr>
            <w:rStyle w:val="Hyperlink"/>
          </w:rPr>
          <w:t xml:space="preserve">https://yihui.org/rmarkdown-cookbook</w:t>
        </w:r>
      </w:hyperlink>
    </w:p>
    <w:bookmarkEnd w:id="177"/>
    <w:bookmarkStart w:id="178" w:name="ref-rmarkdown2026"/>
    <w:p>
      <w:pPr>
        <w:pStyle w:val="Bibliography"/>
      </w:pPr>
      <w:r>
        <w:t xml:space="preserve">Allaire, J., Xie, Y., Dervieux, C., McPherson, J., Luraschi, J., Ushey, K., Atkins, A., Wickham, H., Cheng, J., Chang, W., &amp; Iannone, R. (2026).</w:t>
      </w:r>
      <w:r>
        <w:t xml:space="preserve"> </w:t>
      </w:r>
      <w:r>
        <w:rPr>
          <w:i/>
          <w:iCs/>
        </w:rPr>
        <w:t xml:space="preserve">rmarkdown</w:t>
      </w:r>
      <w:r>
        <w:rPr>
          <w:i/>
          <w:iCs/>
        </w:rPr>
        <w:t xml:space="preserve">: Dynamic documents for r</w:t>
      </w:r>
      <w:r>
        <w:t xml:space="preserve">.</w:t>
      </w:r>
      <w:r>
        <w:t xml:space="preserve"> </w:t>
      </w:r>
      <w:hyperlink r:id="rId88">
        <w:r>
          <w:rPr>
            <w:rStyle w:val="Hyperlink"/>
          </w:rPr>
          <w:t xml:space="preserve">https://github.com/rstudio/rmarkdown</w:t>
        </w:r>
      </w:hyperlink>
    </w:p>
    <w:bookmarkEnd w:id="178"/>
    <w:bookmarkStart w:id="179" w:name="ref-angele2023"/>
    <w:p>
      <w:pPr>
        <w:pStyle w:val="Bibliography"/>
      </w:pPr>
      <w:r>
        <w:t xml:space="preserve">Angele, B., Baciero, A., Gómez, P., &amp; Perea, M. (2023). Does online masked priming pass the test? The effects of prime exposure duration on masked identity priming.</w:t>
      </w:r>
      <w:r>
        <w:t xml:space="preserve"> </w:t>
      </w:r>
      <w:r>
        <w:rPr>
          <w:i/>
          <w:iCs/>
        </w:rPr>
        <w:t xml:space="preserve">Behavior Research Methods</w:t>
      </w:r>
      <w:r>
        <w:t xml:space="preserve">,</w:t>
      </w:r>
      <w:r>
        <w:t xml:space="preserve"> </w:t>
      </w:r>
      <w:r>
        <w:rPr>
          <w:i/>
          <w:iCs/>
        </w:rPr>
        <w:t xml:space="preserve">55</w:t>
      </w:r>
      <w:r>
        <w:t xml:space="preserve">(1), 151–167.</w:t>
      </w:r>
      <w:r>
        <w:t xml:space="preserve"> </w:t>
      </w:r>
      <w:hyperlink r:id="rId90">
        <w:r>
          <w:rPr>
            <w:rStyle w:val="Hyperlink"/>
          </w:rPr>
          <w:t xml:space="preserve">https://doi.org/10.3758/s13428-021-01742-y</w:t>
        </w:r>
      </w:hyperlink>
    </w:p>
    <w:bookmarkEnd w:id="179"/>
    <w:bookmarkStart w:id="180" w:name="ref-angele2024reading"/>
    <w:p>
      <w:pPr>
        <w:pStyle w:val="Bibliography"/>
      </w:pPr>
      <w:r>
        <w:t xml:space="preserve">Angele, B., Gutiérrez-Cordero, I., Perea, M., &amp; Marcet, A. (2024). Reading(,) with and without commas.</w:t>
      </w:r>
      <w:r>
        <w:t xml:space="preserve"> </w:t>
      </w:r>
      <w:r>
        <w:rPr>
          <w:i/>
          <w:iCs/>
        </w:rPr>
        <w:t xml:space="preserve">Quarterly Journal of Experimental Psychology</w:t>
      </w:r>
      <w:r>
        <w:t xml:space="preserve">,</w:t>
      </w:r>
      <w:r>
        <w:t xml:space="preserve"> </w:t>
      </w:r>
      <w:r>
        <w:rPr>
          <w:i/>
          <w:iCs/>
        </w:rPr>
        <w:t xml:space="preserve">77</w:t>
      </w:r>
      <w:r>
        <w:t xml:space="preserve">(6), 1190–1200.</w:t>
      </w:r>
      <w:r>
        <w:t xml:space="preserve"> </w:t>
      </w:r>
      <w:hyperlink r:id="rId92">
        <w:r>
          <w:rPr>
            <w:rStyle w:val="Hyperlink"/>
          </w:rPr>
          <w:t xml:space="preserve">https://doi.org/10.1177/17470218231200338</w:t>
        </w:r>
      </w:hyperlink>
    </w:p>
    <w:bookmarkEnd w:id="180"/>
    <w:bookmarkStart w:id="181" w:name="ref-tinytable"/>
    <w:p>
      <w:pPr>
        <w:pStyle w:val="Bibliography"/>
      </w:pPr>
      <w:r>
        <w:t xml:space="preserve">Arel-Bundock, V. (2026).</w:t>
      </w:r>
      <w:r>
        <w:t xml:space="preserve"> </w:t>
      </w:r>
      <w:r>
        <w:rPr>
          <w:i/>
          <w:iCs/>
        </w:rPr>
        <w:t xml:space="preserve">tinytable</w:t>
      </w:r>
      <w:r>
        <w:rPr>
          <w:i/>
          <w:iCs/>
        </w:rPr>
        <w:t xml:space="preserve">: Simple and configurable tables in</w:t>
      </w:r>
      <w:r>
        <w:rPr>
          <w:i/>
          <w:iCs/>
        </w:rPr>
        <w:t xml:space="preserve"> </w:t>
      </w:r>
      <w:r>
        <w:rPr>
          <w:i/>
          <w:iCs/>
        </w:rPr>
        <w:t xml:space="preserve">“</w:t>
      </w:r>
      <w:r>
        <w:rPr>
          <w:i/>
          <w:iCs/>
        </w:rPr>
        <w:t xml:space="preserve">HTML</w:t>
      </w:r>
      <w:r>
        <w:rPr>
          <w:i/>
          <w:iCs/>
        </w:rPr>
        <w:t xml:space="preserve">,”</w:t>
      </w:r>
      <w:r>
        <w:rPr>
          <w:i/>
          <w:iCs/>
        </w:rPr>
        <w:t xml:space="preserve"> </w:t>
      </w:r>
      <w:r>
        <w:rPr>
          <w:i/>
          <w:iCs/>
        </w:rPr>
        <w:t xml:space="preserve">“</w:t>
      </w:r>
      <w:r>
        <w:rPr>
          <w:i/>
          <w:iCs/>
        </w:rPr>
        <w:t xml:space="preserve">LaTeX</w:t>
      </w:r>
      <w:r>
        <w:rPr>
          <w:i/>
          <w:iCs/>
        </w:rPr>
        <w:t xml:space="preserve">,”</w:t>
      </w:r>
      <w:r>
        <w:rPr>
          <w:i/>
          <w:iCs/>
        </w:rPr>
        <w:t xml:space="preserve"> </w:t>
      </w:r>
      <w:r>
        <w:rPr>
          <w:i/>
          <w:iCs/>
        </w:rPr>
        <w:t xml:space="preserve">“</w:t>
      </w:r>
      <w:r>
        <w:rPr>
          <w:i/>
          <w:iCs/>
        </w:rPr>
        <w:t xml:space="preserve">Markdown</w:t>
      </w:r>
      <w:r>
        <w:rPr>
          <w:i/>
          <w:iCs/>
        </w:rPr>
        <w:t xml:space="preserve">,”</w:t>
      </w:r>
      <w:r>
        <w:rPr>
          <w:i/>
          <w:iCs/>
        </w:rPr>
        <w:t xml:space="preserve"> </w:t>
      </w:r>
      <w:r>
        <w:rPr>
          <w:i/>
          <w:iCs/>
        </w:rPr>
        <w:t xml:space="preserve">“</w:t>
      </w:r>
      <w:r>
        <w:rPr>
          <w:i/>
          <w:iCs/>
        </w:rPr>
        <w:t xml:space="preserve">Word</w:t>
      </w:r>
      <w:r>
        <w:rPr>
          <w:i/>
          <w:iCs/>
        </w:rPr>
        <w:t xml:space="preserve">,”</w:t>
      </w:r>
      <w:r>
        <w:rPr>
          <w:i/>
          <w:iCs/>
        </w:rPr>
        <w:t xml:space="preserve"> </w:t>
      </w:r>
      <w:r>
        <w:rPr>
          <w:i/>
          <w:iCs/>
        </w:rPr>
        <w:t xml:space="preserve">“</w:t>
      </w:r>
      <w:r>
        <w:rPr>
          <w:i/>
          <w:iCs/>
        </w:rPr>
        <w:t xml:space="preserve">PNG</w:t>
      </w:r>
      <w:r>
        <w:rPr>
          <w:i/>
          <w:iCs/>
        </w:rPr>
        <w:t xml:space="preserve">,”</w:t>
      </w:r>
      <w:r>
        <w:rPr>
          <w:i/>
          <w:iCs/>
        </w:rPr>
        <w:t xml:space="preserve"> </w:t>
      </w:r>
      <w:r>
        <w:rPr>
          <w:i/>
          <w:iCs/>
        </w:rPr>
        <w:t xml:space="preserve">“</w:t>
      </w:r>
      <w:r>
        <w:rPr>
          <w:i/>
          <w:iCs/>
        </w:rPr>
        <w:t xml:space="preserve">PDF</w:t>
      </w:r>
      <w:r>
        <w:rPr>
          <w:i/>
          <w:iCs/>
        </w:rPr>
        <w:t xml:space="preserve">,”</w:t>
      </w:r>
      <w:r>
        <w:rPr>
          <w:i/>
          <w:iCs/>
        </w:rPr>
        <w:t xml:space="preserve"> </w:t>
      </w:r>
      <w:r>
        <w:rPr>
          <w:i/>
          <w:iCs/>
        </w:rPr>
        <w:t xml:space="preserve">and</w:t>
      </w:r>
      <w:r>
        <w:rPr>
          <w:i/>
          <w:iCs/>
        </w:rPr>
        <w:t xml:space="preserve"> </w:t>
      </w:r>
      <w:r>
        <w:rPr>
          <w:i/>
          <w:iCs/>
        </w:rPr>
        <w:t xml:space="preserve">“</w:t>
      </w:r>
      <w:r>
        <w:rPr>
          <w:i/>
          <w:iCs/>
        </w:rPr>
        <w:t xml:space="preserve">Typst</w:t>
      </w:r>
      <w:r>
        <w:rPr>
          <w:i/>
          <w:iCs/>
        </w:rPr>
        <w:t xml:space="preserve">”</w:t>
      </w:r>
      <w:r>
        <w:rPr>
          <w:i/>
          <w:iCs/>
        </w:rPr>
        <w:t xml:space="preserve"> </w:t>
      </w:r>
      <w:r>
        <w:rPr>
          <w:i/>
          <w:iCs/>
        </w:rPr>
        <w:t xml:space="preserve">formats</w:t>
      </w:r>
      <w:r>
        <w:t xml:space="preserve">.</w:t>
      </w:r>
      <w:r>
        <w:t xml:space="preserve"> </w:t>
      </w:r>
      <w:hyperlink r:id="rId94">
        <w:r>
          <w:rPr>
            <w:rStyle w:val="Hyperlink"/>
          </w:rPr>
          <w:t xml:space="preserve">https://doi.org/10.32614/CRAN.package.tinytable</w:t>
        </w:r>
      </w:hyperlink>
    </w:p>
    <w:bookmarkEnd w:id="181"/>
    <w:bookmarkStart w:id="182" w:name="ref-baayen2010analyzing"/>
    <w:p>
      <w:pPr>
        <w:pStyle w:val="Bibliography"/>
      </w:pPr>
      <w:r>
        <w:t xml:space="preserve">Baayen, R. H., &amp; Milin, P. (2010). Analyzing reaction times.</w:t>
      </w:r>
      <w:r>
        <w:t xml:space="preserve"> </w:t>
      </w:r>
      <w:r>
        <w:rPr>
          <w:i/>
          <w:iCs/>
        </w:rPr>
        <w:t xml:space="preserve">International Journal of Psychological Research</w:t>
      </w:r>
      <w:r>
        <w:t xml:space="preserve">,</w:t>
      </w:r>
      <w:r>
        <w:t xml:space="preserve"> </w:t>
      </w:r>
      <w:r>
        <w:rPr>
          <w:i/>
          <w:iCs/>
        </w:rPr>
        <w:t xml:space="preserve">3</w:t>
      </w:r>
      <w:r>
        <w:t xml:space="preserve">(2), 12–28.</w:t>
      </w:r>
      <w:r>
        <w:t xml:space="preserve"> </w:t>
      </w:r>
      <w:hyperlink r:id="rId96">
        <w:r>
          <w:rPr>
            <w:rStyle w:val="Hyperlink"/>
          </w:rPr>
          <w:t xml:space="preserve">https://doi.org/10.21500/20112084.807</w:t>
        </w:r>
      </w:hyperlink>
    </w:p>
    <w:bookmarkEnd w:id="182"/>
    <w:bookmarkStart w:id="183" w:name="ref-balota2011"/>
    <w:p>
      <w:pPr>
        <w:pStyle w:val="Bibliography"/>
      </w:pPr>
      <w:r>
        <w:t xml:space="preserve">Balota, D. A., &amp; Yap, M. J. (2011). Moving beyond the mean in studies of mental chronometry the power of response time distributional analyses.</w:t>
      </w:r>
      <w:r>
        <w:t xml:space="preserve"> </w:t>
      </w:r>
      <w:r>
        <w:rPr>
          <w:i/>
          <w:iCs/>
        </w:rPr>
        <w:t xml:space="preserve">Current Directions in Psychological Science</w:t>
      </w:r>
      <w:r>
        <w:t xml:space="preserve">,</w:t>
      </w:r>
      <w:r>
        <w:t xml:space="preserve"> </w:t>
      </w:r>
      <w:r>
        <w:rPr>
          <w:i/>
          <w:iCs/>
        </w:rPr>
        <w:t xml:space="preserve">20</w:t>
      </w:r>
      <w:r>
        <w:t xml:space="preserve">(3), 160166.</w:t>
      </w:r>
      <w:r>
        <w:t xml:space="preserve"> </w:t>
      </w:r>
      <w:hyperlink r:id="rId98">
        <w:r>
          <w:rPr>
            <w:rStyle w:val="Hyperlink"/>
          </w:rPr>
          <w:t xml:space="preserve">https://doi.org/10.1177/0963721411408885</w:t>
        </w:r>
      </w:hyperlink>
    </w:p>
    <w:bookmarkEnd w:id="183"/>
    <w:bookmarkStart w:id="184" w:name="ref-balota2008"/>
    <w:p>
      <w:pPr>
        <w:pStyle w:val="Bibliography"/>
      </w:pPr>
      <w:r>
        <w:t xml:space="preserve">Balota, D. A., Yap, M. J., Cortese, M. J., &amp; Watson, J. M. (2008). Beyond mean response latency: Response time distributional analyses of semantic priming and word frequency effects.</w:t>
      </w:r>
      <w:r>
        <w:t xml:space="preserve"> </w:t>
      </w:r>
      <w:r>
        <w:rPr>
          <w:i/>
          <w:iCs/>
        </w:rPr>
        <w:t xml:space="preserve">Journal of Memory and Language</w:t>
      </w:r>
      <w:r>
        <w:t xml:space="preserve">,</w:t>
      </w:r>
      <w:r>
        <w:t xml:space="preserve"> </w:t>
      </w:r>
      <w:r>
        <w:rPr>
          <w:i/>
          <w:iCs/>
        </w:rPr>
        <w:t xml:space="preserve">59</w:t>
      </w:r>
      <w:r>
        <w:t xml:space="preserve">(4), 495–523.</w:t>
      </w:r>
      <w:r>
        <w:t xml:space="preserve"> </w:t>
      </w:r>
      <w:hyperlink r:id="rId100">
        <w:r>
          <w:rPr>
            <w:rStyle w:val="Hyperlink"/>
          </w:rPr>
          <w:t xml:space="preserve">https://doi.org/10.1016/j.jml.2007.10.004</w:t>
        </w:r>
      </w:hyperlink>
    </w:p>
    <w:bookmarkEnd w:id="184"/>
    <w:bookmarkStart w:id="185" w:name="ref-julia"/>
    <w:p>
      <w:pPr>
        <w:pStyle w:val="Bibliography"/>
      </w:pPr>
      <w:r>
        <w:t xml:space="preserve">Bezanson, J., Edelman, A., Karpinski, S., &amp; Shah, V. B. (2017). Julia: A fresh approach to numerical computing.</w:t>
      </w:r>
      <w:r>
        <w:t xml:space="preserve"> </w:t>
      </w:r>
      <w:r>
        <w:rPr>
          <w:i/>
          <w:iCs/>
        </w:rPr>
        <w:t xml:space="preserve">SIAM Review</w:t>
      </w:r>
      <w:r>
        <w:t xml:space="preserve">,</w:t>
      </w:r>
      <w:r>
        <w:t xml:space="preserve"> </w:t>
      </w:r>
      <w:r>
        <w:rPr>
          <w:i/>
          <w:iCs/>
        </w:rPr>
        <w:t xml:space="preserve">59</w:t>
      </w:r>
      <w:r>
        <w:t xml:space="preserve">(1), 65–98.</w:t>
      </w:r>
      <w:r>
        <w:t xml:space="preserve"> </w:t>
      </w:r>
      <w:hyperlink r:id="rId102">
        <w:r>
          <w:rPr>
            <w:rStyle w:val="Hyperlink"/>
          </w:rPr>
          <w:t xml:space="preserve">https://doi.org/10.1137/141000671</w:t>
        </w:r>
      </w:hyperlink>
    </w:p>
    <w:bookmarkEnd w:id="185"/>
    <w:bookmarkStart w:id="186" w:name="ref-brms2017"/>
    <w:p>
      <w:pPr>
        <w:pStyle w:val="Bibliography"/>
      </w:pPr>
      <w:r>
        <w:t xml:space="preserve">Bürkner, P.-C. (2017).</w:t>
      </w:r>
      <w:r>
        <w:t xml:space="preserve"> </w:t>
      </w:r>
      <w:r>
        <w:t xml:space="preserve">brms</w:t>
      </w:r>
      <w:r>
        <w:t xml:space="preserve">: An</w:t>
      </w:r>
      <w:r>
        <w:t xml:space="preserve"> </w:t>
      </w:r>
      <w:r>
        <w:t xml:space="preserve">R</w:t>
      </w:r>
      <w:r>
        <w:t xml:space="preserve"> </w:t>
      </w:r>
      <w:r>
        <w:t xml:space="preserve">package for</w:t>
      </w:r>
      <w:r>
        <w:t xml:space="preserve"> </w:t>
      </w:r>
      <w:r>
        <w:t xml:space="preserve">Bayesian</w:t>
      </w:r>
      <w:r>
        <w:t xml:space="preserve"> </w:t>
      </w:r>
      <w:r>
        <w:t xml:space="preserve">multilevel models using</w:t>
      </w:r>
      <w:r>
        <w:t xml:space="preserve"> </w:t>
      </w:r>
      <w:r>
        <w:t xml:space="preserve">Stan</w:t>
      </w:r>
      <w:r>
        <w:t xml:space="preserve">.</w:t>
      </w:r>
      <w:r>
        <w:t xml:space="preserve"> </w:t>
      </w:r>
      <w:r>
        <w:rPr>
          <w:i/>
          <w:iCs/>
        </w:rPr>
        <w:t xml:space="preserve">Journal of Statistical Software</w:t>
      </w:r>
      <w:r>
        <w:t xml:space="preserve">,</w:t>
      </w:r>
      <w:r>
        <w:t xml:space="preserve"> </w:t>
      </w:r>
      <w:r>
        <w:rPr>
          <w:i/>
          <w:iCs/>
        </w:rPr>
        <w:t xml:space="preserve">80</w:t>
      </w:r>
      <w:r>
        <w:t xml:space="preserve">(1), 1–28.</w:t>
      </w:r>
      <w:r>
        <w:t xml:space="preserve"> </w:t>
      </w:r>
      <w:hyperlink r:id="rId104">
        <w:r>
          <w:rPr>
            <w:rStyle w:val="Hyperlink"/>
          </w:rPr>
          <w:t xml:space="preserve">https://doi.org/10.18637/jss.v080.i01</w:t>
        </w:r>
      </w:hyperlink>
    </w:p>
    <w:bookmarkEnd w:id="186"/>
    <w:bookmarkStart w:id="187" w:name="ref-brms2018"/>
    <w:p>
      <w:pPr>
        <w:pStyle w:val="Bibliography"/>
      </w:pPr>
      <w:r>
        <w:t xml:space="preserve">Bürkner, P.-C. (2018). Advanced</w:t>
      </w:r>
      <w:r>
        <w:t xml:space="preserve"> </w:t>
      </w:r>
      <w:r>
        <w:t xml:space="preserve">Bayesian</w:t>
      </w:r>
      <w:r>
        <w:t xml:space="preserve"> </w:t>
      </w:r>
      <w:r>
        <w:t xml:space="preserve">multilevel modeling with the</w:t>
      </w:r>
      <w:r>
        <w:t xml:space="preserve"> </w:t>
      </w:r>
      <w:r>
        <w:t xml:space="preserve">R</w:t>
      </w:r>
      <w:r>
        <w:t xml:space="preserve"> </w:t>
      </w:r>
      <w:r>
        <w:t xml:space="preserve">package</w:t>
      </w:r>
      <w:r>
        <w:t xml:space="preserve"> </w:t>
      </w:r>
      <w:r>
        <w:t xml:space="preserve">brms</w:t>
      </w:r>
      <w:r>
        <w:t xml:space="preserve">.</w:t>
      </w:r>
      <w:r>
        <w:t xml:space="preserve"> </w:t>
      </w:r>
      <w:r>
        <w:rPr>
          <w:i/>
          <w:iCs/>
        </w:rPr>
        <w:t xml:space="preserve">The R Journal</w:t>
      </w:r>
      <w:r>
        <w:t xml:space="preserve">,</w:t>
      </w:r>
      <w:r>
        <w:t xml:space="preserve"> </w:t>
      </w:r>
      <w:r>
        <w:rPr>
          <w:i/>
          <w:iCs/>
        </w:rPr>
        <w:t xml:space="preserve">10</w:t>
      </w:r>
      <w:r>
        <w:t xml:space="preserve">(1), 395–411.</w:t>
      </w:r>
      <w:r>
        <w:t xml:space="preserve"> </w:t>
      </w:r>
      <w:hyperlink r:id="rId106">
        <w:r>
          <w:rPr>
            <w:rStyle w:val="Hyperlink"/>
          </w:rPr>
          <w:t xml:space="preserve">https://doi.org/10.32614/RJ-2018-017</w:t>
        </w:r>
      </w:hyperlink>
    </w:p>
    <w:bookmarkEnd w:id="187"/>
    <w:bookmarkStart w:id="188" w:name="ref-brms2021"/>
    <w:p>
      <w:pPr>
        <w:pStyle w:val="Bibliography"/>
      </w:pPr>
      <w:r>
        <w:t xml:space="preserve">Bürkner, P.-C. (2021). Bayesian item response modeling in</w:t>
      </w:r>
      <w:r>
        <w:t xml:space="preserve"> </w:t>
      </w:r>
      <w:r>
        <w:t xml:space="preserve">R</w:t>
      </w:r>
      <w:r>
        <w:t xml:space="preserve"> </w:t>
      </w:r>
      <w:r>
        <w:t xml:space="preserve">with</w:t>
      </w:r>
      <w:r>
        <w:t xml:space="preserve"> </w:t>
      </w:r>
      <w:r>
        <w:t xml:space="preserve">brms</w:t>
      </w:r>
      <w:r>
        <w:t xml:space="preserve"> </w:t>
      </w:r>
      <w:r>
        <w:t xml:space="preserve">and</w:t>
      </w:r>
      <w:r>
        <w:t xml:space="preserve"> </w:t>
      </w:r>
      <w:r>
        <w:t xml:space="preserve">Stan</w:t>
      </w:r>
      <w:r>
        <w:t xml:space="preserve">.</w:t>
      </w:r>
      <w:r>
        <w:t xml:space="preserve"> </w:t>
      </w:r>
      <w:r>
        <w:rPr>
          <w:i/>
          <w:iCs/>
        </w:rPr>
        <w:t xml:space="preserve">Journal of Statistical Software</w:t>
      </w:r>
      <w:r>
        <w:t xml:space="preserve">,</w:t>
      </w:r>
      <w:r>
        <w:t xml:space="preserve"> </w:t>
      </w:r>
      <w:r>
        <w:rPr>
          <w:i/>
          <w:iCs/>
        </w:rPr>
        <w:t xml:space="preserve">100</w:t>
      </w:r>
      <w:r>
        <w:t xml:space="preserve">(5), 1–54.</w:t>
      </w:r>
      <w:r>
        <w:t xml:space="preserve"> </w:t>
      </w:r>
      <w:hyperlink r:id="rId108">
        <w:r>
          <w:rPr>
            <w:rStyle w:val="Hyperlink"/>
          </w:rPr>
          <w:t xml:space="preserve">https://doi.org/10.18637/jss.v100.i05</w:t>
        </w:r>
      </w:hyperlink>
    </w:p>
    <w:bookmarkEnd w:id="188"/>
    <w:bookmarkStart w:id="189" w:name="ref-stan"/>
    <w:p>
      <w:pPr>
        <w:pStyle w:val="Bibliography"/>
      </w:pPr>
      <w:r>
        <w:t xml:space="preserve">Carpenter, B., Gelman, A., Hoffman, M. D., Lee, D., Goodrich, B., Betancourt, M., Brubaker, M. A., Guo, J., Li, P., &amp; Riddell, A. (2017). Stan: A probabilistic programming language.</w:t>
      </w:r>
      <w:r>
        <w:t xml:space="preserve"> </w:t>
      </w:r>
      <w:r>
        <w:rPr>
          <w:i/>
          <w:iCs/>
        </w:rPr>
        <w:t xml:space="preserve">Journal of Statistical Software</w:t>
      </w:r>
      <w:r>
        <w:t xml:space="preserve">,</w:t>
      </w:r>
      <w:r>
        <w:t xml:space="preserve"> </w:t>
      </w:r>
      <w:r>
        <w:rPr>
          <w:i/>
          <w:iCs/>
        </w:rPr>
        <w:t xml:space="preserve">76</w:t>
      </w:r>
      <w:r>
        <w:t xml:space="preserve">(1), 1–32.</w:t>
      </w:r>
      <w:r>
        <w:t xml:space="preserve"> </w:t>
      </w:r>
      <w:hyperlink r:id="rId110">
        <w:r>
          <w:rPr>
            <w:rStyle w:val="Hyperlink"/>
          </w:rPr>
          <w:t xml:space="preserve">https://doi.org/10.18637/jss.v076.i01</w:t>
        </w:r>
      </w:hyperlink>
    </w:p>
    <w:bookmarkEnd w:id="189"/>
    <w:bookmarkStart w:id="190" w:name="ref-qs2"/>
    <w:p>
      <w:pPr>
        <w:pStyle w:val="Bibliography"/>
      </w:pPr>
      <w:r>
        <w:t xml:space="preserve">Ching, T. (2026).</w:t>
      </w:r>
      <w:r>
        <w:t xml:space="preserve"> </w:t>
      </w:r>
      <w:r>
        <w:rPr>
          <w:i/>
          <w:iCs/>
        </w:rPr>
        <w:t xml:space="preserve">qs2: Efficient serialization of r objects</w:t>
      </w:r>
      <w:r>
        <w:t xml:space="preserve">.</w:t>
      </w:r>
      <w:r>
        <w:t xml:space="preserve"> </w:t>
      </w:r>
      <w:hyperlink r:id="rId112">
        <w:r>
          <w:rPr>
            <w:rStyle w:val="Hyperlink"/>
          </w:rPr>
          <w:t xml:space="preserve">https://doi.org/10.32614/CRAN.package.qs2</w:t>
        </w:r>
      </w:hyperlink>
    </w:p>
    <w:bookmarkEnd w:id="190"/>
    <w:bookmarkStart w:id="191" w:name="ref-dewitt2018"/>
    <w:p>
      <w:pPr>
        <w:pStyle w:val="Bibliography"/>
      </w:pPr>
      <w:r>
        <w:t xml:space="preserve">Dewitt, S. H., Lagnado, D., &amp; Fenton, N. (2018).</w:t>
      </w:r>
      <w:r>
        <w:t xml:space="preserve"> </w:t>
      </w:r>
      <w:r>
        <w:rPr>
          <w:i/>
          <w:iCs/>
        </w:rPr>
        <w:t xml:space="preserve">Updating prior beliefs based on ambiguous evidence</w:t>
      </w:r>
      <w:r>
        <w:t xml:space="preserve"> </w:t>
      </w:r>
      <w:r>
        <w:t xml:space="preserve">(,. M. R. J. Z. Chuck Kalish &amp; T. Rogers, Eds.; p. 306311).</w:t>
      </w:r>
    </w:p>
    <w:bookmarkEnd w:id="191"/>
    <w:bookmarkStart w:id="192" w:name="ref-forster1998pros"/>
    <w:p>
      <w:pPr>
        <w:pStyle w:val="Bibliography"/>
      </w:pPr>
      <w:r>
        <w:t xml:space="preserve">Forster, K. I. (1998). The pros and cons of masked priming.</w:t>
      </w:r>
      <w:r>
        <w:t xml:space="preserve"> </w:t>
      </w:r>
      <w:r>
        <w:rPr>
          <w:i/>
          <w:iCs/>
        </w:rPr>
        <w:t xml:space="preserve">Journal of Psycholinguistic Research</w:t>
      </w:r>
      <w:r>
        <w:t xml:space="preserve">,</w:t>
      </w:r>
      <w:r>
        <w:t xml:space="preserve"> </w:t>
      </w:r>
      <w:r>
        <w:rPr>
          <w:i/>
          <w:iCs/>
        </w:rPr>
        <w:t xml:space="preserve">27</w:t>
      </w:r>
      <w:r>
        <w:t xml:space="preserve">(2), 203–233.</w:t>
      </w:r>
      <w:r>
        <w:t xml:space="preserve"> </w:t>
      </w:r>
      <w:hyperlink r:id="rId115">
        <w:r>
          <w:rPr>
            <w:rStyle w:val="Hyperlink"/>
          </w:rPr>
          <w:t xml:space="preserve">https://doi.org/10.1023/A:1023202116609</w:t>
        </w:r>
      </w:hyperlink>
    </w:p>
    <w:bookmarkEnd w:id="192"/>
    <w:bookmarkStart w:id="193" w:name="ref-forster1984"/>
    <w:p>
      <w:pPr>
        <w:pStyle w:val="Bibliography"/>
      </w:pPr>
      <w:r>
        <w:t xml:space="preserve">Forster, K. I., &amp; Davis, C. (1984). Repetition priming and frequency attenuation in lexical access.</w:t>
      </w:r>
      <w:r>
        <w:t xml:space="preserve"> </w:t>
      </w:r>
      <w:r>
        <w:rPr>
          <w:i/>
          <w:iCs/>
        </w:rPr>
        <w:t xml:space="preserve">Journal of Experimental Psychology: Learning, Memory, and Cognition</w:t>
      </w:r>
      <w:r>
        <w:t xml:space="preserve">,</w:t>
      </w:r>
      <w:r>
        <w:t xml:space="preserve"> </w:t>
      </w:r>
      <w:r>
        <w:rPr>
          <w:i/>
          <w:iCs/>
        </w:rPr>
        <w:t xml:space="preserve">10</w:t>
      </w:r>
      <w:r>
        <w:t xml:space="preserve">(4), 680–698.</w:t>
      </w:r>
      <w:r>
        <w:t xml:space="preserve"> </w:t>
      </w:r>
      <w:hyperlink r:id="rId117">
        <w:r>
          <w:rPr>
            <w:rStyle w:val="Hyperlink"/>
          </w:rPr>
          <w:t xml:space="preserve">https://doi.org/10.1037/0278-7393.10.4.680</w:t>
        </w:r>
      </w:hyperlink>
    </w:p>
    <w:bookmarkEnd w:id="193"/>
    <w:bookmarkStart w:id="194" w:name="ref-geller2025"/>
    <w:p>
      <w:pPr>
        <w:pStyle w:val="Bibliography"/>
      </w:pPr>
      <w:r>
        <w:t xml:space="preserve">Geller, J., Gómez, P., Buchanan, E. M., &amp; Makowski, D. (2025). A distributional response time analysis of the perceptual disfluency effect.</w:t>
      </w:r>
      <w:r>
        <w:t xml:space="preserve"> </w:t>
      </w:r>
      <w:r>
        <w:rPr>
          <w:i/>
          <w:iCs/>
        </w:rPr>
        <w:t xml:space="preserve">Journal of Cognition</w:t>
      </w:r>
      <w:r>
        <w:t xml:space="preserve">,</w:t>
      </w:r>
      <w:r>
        <w:t xml:space="preserve"> </w:t>
      </w:r>
      <w:r>
        <w:rPr>
          <w:i/>
          <w:iCs/>
        </w:rPr>
        <w:t xml:space="preserve">8</w:t>
      </w:r>
      <w:r>
        <w:t xml:space="preserve">(1), 50.</w:t>
      </w:r>
      <w:r>
        <w:t xml:space="preserve"> </w:t>
      </w:r>
      <w:hyperlink r:id="rId119">
        <w:r>
          <w:rPr>
            <w:rStyle w:val="Hyperlink"/>
          </w:rPr>
          <w:t xml:space="preserve">https://doi.org/10.5334/joc.469</w:t>
        </w:r>
      </w:hyperlink>
    </w:p>
    <w:bookmarkEnd w:id="194"/>
    <w:bookmarkStart w:id="195" w:name="ref-gigerenzer2018statistical"/>
    <w:p>
      <w:pPr>
        <w:pStyle w:val="Bibliography"/>
      </w:pPr>
      <w:r>
        <w:t xml:space="preserve">Gigerenzer, G. (2018). Statistical rituals: The replication delusion and how we got there.</w:t>
      </w:r>
      <w:r>
        <w:t xml:space="preserve"> </w:t>
      </w:r>
      <w:r>
        <w:rPr>
          <w:i/>
          <w:iCs/>
        </w:rPr>
        <w:t xml:space="preserve">Advances in Methods and Practices in Psychological Science</w:t>
      </w:r>
      <w:r>
        <w:t xml:space="preserve">,</w:t>
      </w:r>
      <w:r>
        <w:t xml:space="preserve"> </w:t>
      </w:r>
      <w:r>
        <w:rPr>
          <w:i/>
          <w:iCs/>
        </w:rPr>
        <w:t xml:space="preserve">1</w:t>
      </w:r>
      <w:r>
        <w:t xml:space="preserve">(2), 198–218.</w:t>
      </w:r>
      <w:r>
        <w:t xml:space="preserve"> </w:t>
      </w:r>
      <w:hyperlink r:id="rId121">
        <w:r>
          <w:rPr>
            <w:rStyle w:val="Hyperlink"/>
          </w:rPr>
          <w:t xml:space="preserve">https://doi.org/10.1177/2515245918771329</w:t>
        </w:r>
      </w:hyperlink>
    </w:p>
    <w:bookmarkEnd w:id="195"/>
    <w:bookmarkStart w:id="196" w:name="ref-fs"/>
    <w:p>
      <w:pPr>
        <w:pStyle w:val="Bibliography"/>
      </w:pPr>
      <w:r>
        <w:t xml:space="preserve">Hester, J., Wickham, H., &amp; Csárdi, G. (2026).</w:t>
      </w:r>
      <w:r>
        <w:t xml:space="preserve"> </w:t>
      </w:r>
      <w:r>
        <w:rPr>
          <w:i/>
          <w:iCs/>
        </w:rPr>
        <w:t xml:space="preserve">fs</w:t>
      </w:r>
      <w:r>
        <w:rPr>
          <w:i/>
          <w:iCs/>
        </w:rPr>
        <w:t xml:space="preserve">: Cross-platform file system operations based on</w:t>
      </w:r>
      <w:r>
        <w:rPr>
          <w:i/>
          <w:iCs/>
        </w:rPr>
        <w:t xml:space="preserve"> </w:t>
      </w:r>
      <w:r>
        <w:rPr>
          <w:i/>
          <w:iCs/>
        </w:rPr>
        <w:t xml:space="preserve">“</w:t>
      </w:r>
      <w:r>
        <w:rPr>
          <w:i/>
          <w:iCs/>
        </w:rPr>
        <w:t xml:space="preserve">libuv</w:t>
      </w:r>
      <w:r>
        <w:rPr>
          <w:i/>
          <w:iCs/>
        </w:rPr>
        <w:t xml:space="preserve">”</w:t>
      </w:r>
      <w:r>
        <w:t xml:space="preserve">.</w:t>
      </w:r>
      <w:r>
        <w:t xml:space="preserve"> </w:t>
      </w:r>
      <w:hyperlink r:id="rId123">
        <w:r>
          <w:rPr>
            <w:rStyle w:val="Hyperlink"/>
          </w:rPr>
          <w:t xml:space="preserve">https://doi.org/10.32614/CRAN.package.fs</w:t>
        </w:r>
      </w:hyperlink>
    </w:p>
    <w:bookmarkEnd w:id="196"/>
    <w:bookmarkStart w:id="197" w:name="ref-kane2003"/>
    <w:p>
      <w:pPr>
        <w:pStyle w:val="Bibliography"/>
      </w:pPr>
      <w:r>
        <w:t xml:space="preserve">Kane, M. J., &amp; Engle, R. W. (2003). Working-memory capacity and the control of attention: The contributions of goal neglect, response competition, and task set to stroop interference.</w:t>
      </w:r>
      <w:r>
        <w:t xml:space="preserve"> </w:t>
      </w:r>
      <w:r>
        <w:rPr>
          <w:i/>
          <w:iCs/>
        </w:rPr>
        <w:t xml:space="preserve">Journal of Experimental Psychology: General</w:t>
      </w:r>
      <w:r>
        <w:t xml:space="preserve">,</w:t>
      </w:r>
      <w:r>
        <w:t xml:space="preserve"> </w:t>
      </w:r>
      <w:r>
        <w:rPr>
          <w:i/>
          <w:iCs/>
        </w:rPr>
        <w:t xml:space="preserve">132</w:t>
      </w:r>
      <w:r>
        <w:t xml:space="preserve">(1), 47–70.</w:t>
      </w:r>
      <w:r>
        <w:t xml:space="preserve"> </w:t>
      </w:r>
      <w:hyperlink r:id="rId125">
        <w:r>
          <w:rPr>
            <w:rStyle w:val="Hyperlink"/>
          </w:rPr>
          <w:t xml:space="preserve">https://doi.org/10.1037/0096-3445.132.1.47</w:t>
        </w:r>
      </w:hyperlink>
    </w:p>
    <w:bookmarkEnd w:id="197"/>
    <w:bookmarkStart w:id="198" w:name="ref-ggdist2024"/>
    <w:p>
      <w:pPr>
        <w:pStyle w:val="Bibliography"/>
      </w:pPr>
      <w:r>
        <w:t xml:space="preserve">Kay, M. (2024).</w:t>
      </w:r>
      <w:r>
        <w:t xml:space="preserve"> </w:t>
      </w:r>
      <w:r>
        <w:t xml:space="preserve">ggdist</w:t>
      </w:r>
      <w:r>
        <w:t xml:space="preserve">: Visualizations of distributions and uncertainty in the grammar of graphics.</w:t>
      </w:r>
      <w:r>
        <w:t xml:space="preserve"> </w:t>
      </w:r>
      <w:r>
        <w:rPr>
          <w:i/>
          <w:iCs/>
        </w:rPr>
        <w:t xml:space="preserve">IEEE Transactions on Visualization and Computer Graphics</w:t>
      </w:r>
      <w:r>
        <w:t xml:space="preserve">,</w:t>
      </w:r>
      <w:r>
        <w:t xml:space="preserve"> </w:t>
      </w:r>
      <w:r>
        <w:rPr>
          <w:i/>
          <w:iCs/>
        </w:rPr>
        <w:t xml:space="preserve">30</w:t>
      </w:r>
      <w:r>
        <w:t xml:space="preserve">(1), 414–424.</w:t>
      </w:r>
      <w:r>
        <w:t xml:space="preserve"> </w:t>
      </w:r>
      <w:hyperlink r:id="rId127">
        <w:r>
          <w:rPr>
            <w:rStyle w:val="Hyperlink"/>
          </w:rPr>
          <w:t xml:space="preserve">https://doi.org/10.1109/TVCG.2023.3327195</w:t>
        </w:r>
      </w:hyperlink>
    </w:p>
    <w:bookmarkEnd w:id="198"/>
    <w:bookmarkStart w:id="199" w:name="ref-ggdist2025"/>
    <w:p>
      <w:pPr>
        <w:pStyle w:val="Bibliography"/>
      </w:pPr>
      <w:r>
        <w:t xml:space="preserve">Kay, M. (2025).</w:t>
      </w:r>
      <w:r>
        <w:t xml:space="preserve"> </w:t>
      </w:r>
      <w:r>
        <w:rPr>
          <w:i/>
          <w:iCs/>
        </w:rPr>
        <w:t xml:space="preserve">ggdist</w:t>
      </w:r>
      <w:r>
        <w:rPr>
          <w:i/>
          <w:iCs/>
        </w:rPr>
        <w:t xml:space="preserve">: Visualizations of distributions and uncertainty</w:t>
      </w:r>
      <w:r>
        <w:t xml:space="preserve">.</w:t>
      </w:r>
      <w:r>
        <w:t xml:space="preserve"> </w:t>
      </w:r>
      <w:hyperlink r:id="rId129">
        <w:r>
          <w:rPr>
            <w:rStyle w:val="Hyperlink"/>
          </w:rPr>
          <w:t xml:space="preserve">https://doi.org/10.5281/zenodo.3879620</w:t>
        </w:r>
      </w:hyperlink>
    </w:p>
    <w:bookmarkEnd w:id="199"/>
    <w:bookmarkStart w:id="200" w:name="ref-kinoshita2023"/>
    <w:p>
      <w:pPr>
        <w:pStyle w:val="Bibliography"/>
      </w:pPr>
      <w:r>
        <w:t xml:space="preserve">Kinoshita, S., &amp; Liong, G. (2023). Mirror letter priming is rightward-biased but not inhibitory: Little evidence for a mirror suppression mechanism in the recognition of mirror letters.</w:t>
      </w:r>
      <w:r>
        <w:t xml:space="preserve"> </w:t>
      </w:r>
      <w:r>
        <w:rPr>
          <w:i/>
          <w:iCs/>
        </w:rPr>
        <w:t xml:space="preserve">Journal of Experimental Psychology: Learning, Memory, and Cognition</w:t>
      </w:r>
      <w:r>
        <w:t xml:space="preserve">,</w:t>
      </w:r>
      <w:r>
        <w:t xml:space="preserve"> </w:t>
      </w:r>
      <w:r>
        <w:rPr>
          <w:i/>
          <w:iCs/>
        </w:rPr>
        <w:t xml:space="preserve">49</w:t>
      </w:r>
      <w:r>
        <w:t xml:space="preserve">(10), 1523–1538.</w:t>
      </w:r>
      <w:r>
        <w:t xml:space="preserve"> </w:t>
      </w:r>
      <w:hyperlink r:id="rId131">
        <w:r>
          <w:rPr>
            <w:rStyle w:val="Hyperlink"/>
          </w:rPr>
          <w:t xml:space="preserve">https://doi.org/10.1037/xlm0001239</w:t>
        </w:r>
      </w:hyperlink>
    </w:p>
    <w:bookmarkEnd w:id="200"/>
    <w:bookmarkStart w:id="201" w:name="ref-emmeans"/>
    <w:p>
      <w:pPr>
        <w:pStyle w:val="Bibliography"/>
      </w:pPr>
      <w:r>
        <w:t xml:space="preserve">Lenth, R. V., &amp; Piaskowski, J. (2026).</w:t>
      </w:r>
      <w:r>
        <w:t xml:space="preserve"> </w:t>
      </w:r>
      <w:r>
        <w:rPr>
          <w:i/>
          <w:iCs/>
        </w:rPr>
        <w:t xml:space="preserve">Emmeans: Estimated marginal means, aka least-squares means</w:t>
      </w:r>
      <w:r>
        <w:t xml:space="preserve">.</w:t>
      </w:r>
      <w:r>
        <w:t xml:space="preserve"> </w:t>
      </w:r>
      <w:hyperlink r:id="rId133">
        <w:r>
          <w:rPr>
            <w:rStyle w:val="Hyperlink"/>
          </w:rPr>
          <w:t xml:space="preserve">https://doi.org/10.32614/CRAN.package.emmeans</w:t>
        </w:r>
      </w:hyperlink>
    </w:p>
    <w:bookmarkEnd w:id="201"/>
    <w:bookmarkStart w:id="202" w:name="ref-parameters"/>
    <w:p>
      <w:pPr>
        <w:pStyle w:val="Bibliography"/>
      </w:pPr>
      <w:r>
        <w:t xml:space="preserve">Lüdecke, D., Ben-Shachar, M. S., Patil, I., &amp; Makowski, D. (2020). Extracting, computing and exploring the parameters of statistical models using</w:t>
      </w:r>
      <w:r>
        <w:t xml:space="preserve"> </w:t>
      </w:r>
      <w:r>
        <w:t xml:space="preserve">R</w:t>
      </w:r>
      <w:r>
        <w:t xml:space="preserve">.</w:t>
      </w:r>
      <w:r>
        <w:t xml:space="preserve"> </w:t>
      </w:r>
      <w:r>
        <w:rPr>
          <w:i/>
          <w:iCs/>
        </w:rPr>
        <w:t xml:space="preserve">Journal of Open Source Software</w:t>
      </w:r>
      <w:r>
        <w:t xml:space="preserve">,</w:t>
      </w:r>
      <w:r>
        <w:t xml:space="preserve"> </w:t>
      </w:r>
      <w:r>
        <w:rPr>
          <w:i/>
          <w:iCs/>
        </w:rPr>
        <w:t xml:space="preserve">5</w:t>
      </w:r>
      <w:r>
        <w:t xml:space="preserve">(53), 2445.</w:t>
      </w:r>
      <w:r>
        <w:t xml:space="preserve"> </w:t>
      </w:r>
      <w:hyperlink r:id="rId135">
        <w:r>
          <w:rPr>
            <w:rStyle w:val="Hyperlink"/>
          </w:rPr>
          <w:t xml:space="preserve">https://doi.org/10.21105/joss.02445</w:t>
        </w:r>
      </w:hyperlink>
    </w:p>
    <w:bookmarkEnd w:id="202"/>
    <w:bookmarkStart w:id="203" w:name="ref-ludecke2019insight"/>
    <w:p>
      <w:pPr>
        <w:pStyle w:val="Bibliography"/>
      </w:pPr>
      <w:r>
        <w:t xml:space="preserve">Lüdecke, D., Waggoner, P. D., &amp; Makowski, D. (2019).</w:t>
      </w:r>
      <w:r>
        <w:t xml:space="preserve"> </w:t>
      </w:r>
      <w:r>
        <w:t xml:space="preserve">insight</w:t>
      </w:r>
      <w:r>
        <w:t xml:space="preserve">: A unified interface to access information from model objects in</w:t>
      </w:r>
      <w:r>
        <w:t xml:space="preserve"> </w:t>
      </w:r>
      <w:r>
        <w:t xml:space="preserve">R</w:t>
      </w:r>
      <w:r>
        <w:t xml:space="preserve">.</w:t>
      </w:r>
      <w:r>
        <w:t xml:space="preserve"> </w:t>
      </w:r>
      <w:r>
        <w:rPr>
          <w:i/>
          <w:iCs/>
        </w:rPr>
        <w:t xml:space="preserve">Journal of Open Source Software</w:t>
      </w:r>
      <w:r>
        <w:t xml:space="preserve">,</w:t>
      </w:r>
      <w:r>
        <w:t xml:space="preserve"> </w:t>
      </w:r>
      <w:r>
        <w:rPr>
          <w:i/>
          <w:iCs/>
        </w:rPr>
        <w:t xml:space="preserve">4</w:t>
      </w:r>
      <w:r>
        <w:t xml:space="preserve">(38), 1412.</w:t>
      </w:r>
      <w:r>
        <w:t xml:space="preserve"> </w:t>
      </w:r>
      <w:hyperlink r:id="rId137">
        <w:r>
          <w:rPr>
            <w:rStyle w:val="Hyperlink"/>
          </w:rPr>
          <w:t xml:space="preserve">https://doi.org/10.21105/joss.01412</w:t>
        </w:r>
      </w:hyperlink>
    </w:p>
    <w:bookmarkEnd w:id="203"/>
    <w:bookmarkStart w:id="204" w:name="ref-makowski2026cogmod"/>
    <w:p>
      <w:pPr>
        <w:pStyle w:val="Bibliography"/>
      </w:pPr>
      <w:r>
        <w:t xml:space="preserve">Makowski, D. (2026).</w:t>
      </w:r>
      <w:r>
        <w:t xml:space="preserve"> </w:t>
      </w:r>
      <w:r>
        <w:rPr>
          <w:i/>
          <w:iCs/>
        </w:rPr>
        <w:t xml:space="preserve">cogmod</w:t>
      </w:r>
      <w:r>
        <w:rPr>
          <w:i/>
          <w:iCs/>
        </w:rPr>
        <w:t xml:space="preserve">: Cognitive models for response time and choice data</w:t>
      </w:r>
      <w:r>
        <w:t xml:space="preserve">.</w:t>
      </w:r>
      <w:r>
        <w:t xml:space="preserve"> </w:t>
      </w:r>
      <w:hyperlink r:id="rId139">
        <w:r>
          <w:rPr>
            <w:rStyle w:val="Hyperlink"/>
          </w:rPr>
          <w:t xml:space="preserve">https://github.com/DominiqueMakowski/cogmod</w:t>
        </w:r>
      </w:hyperlink>
    </w:p>
    <w:bookmarkEnd w:id="204"/>
    <w:bookmarkStart w:id="205" w:name="ref-bayestestR"/>
    <w:p>
      <w:pPr>
        <w:pStyle w:val="Bibliography"/>
      </w:pPr>
      <w:r>
        <w:t xml:space="preserve">Makowski, D., Ben-Shachar, M. S., &amp; Lüdecke, D. (2019).</w:t>
      </w:r>
      <w:r>
        <w:t xml:space="preserve"> </w:t>
      </w:r>
      <w:r>
        <w:t xml:space="preserve">bayestestR</w:t>
      </w:r>
      <w:r>
        <w:t xml:space="preserve">: Describing effects and their uncertainty, existence and significance within the bayesian framework.</w:t>
      </w:r>
      <w:r>
        <w:t xml:space="preserve"> </w:t>
      </w:r>
      <w:r>
        <w:rPr>
          <w:i/>
          <w:iCs/>
        </w:rPr>
        <w:t xml:space="preserve">Journal of Open Source Software</w:t>
      </w:r>
      <w:r>
        <w:t xml:space="preserve">,</w:t>
      </w:r>
      <w:r>
        <w:t xml:space="preserve"> </w:t>
      </w:r>
      <w:r>
        <w:rPr>
          <w:i/>
          <w:iCs/>
        </w:rPr>
        <w:t xml:space="preserve">4</w:t>
      </w:r>
      <w:r>
        <w:t xml:space="preserve">(40), 1541.</w:t>
      </w:r>
      <w:r>
        <w:t xml:space="preserve"> </w:t>
      </w:r>
      <w:hyperlink r:id="rId141">
        <w:r>
          <w:rPr>
            <w:rStyle w:val="Hyperlink"/>
          </w:rPr>
          <w:t xml:space="preserve">https://doi.org/10.21105/joss.01541</w:t>
        </w:r>
      </w:hyperlink>
    </w:p>
    <w:bookmarkEnd w:id="205"/>
    <w:bookmarkStart w:id="206" w:name="ref-makowski2025modelbased"/>
    <w:p>
      <w:pPr>
        <w:pStyle w:val="Bibliography"/>
      </w:pPr>
      <w:r>
        <w:t xml:space="preserve">Makowski, D., Ben-Shachar, M. S., Wiernik, B. M., Patil, I., Thériault, R., &amp; Lüdecke, D. (2025).</w:t>
      </w:r>
      <w:r>
        <w:t xml:space="preserve"> </w:t>
      </w:r>
      <w:r>
        <w:t xml:space="preserve">modelbased</w:t>
      </w:r>
      <w:r>
        <w:t xml:space="preserve">: An</w:t>
      </w:r>
      <w:r>
        <w:t xml:space="preserve"> </w:t>
      </w:r>
      <w:r>
        <w:t xml:space="preserve">R</w:t>
      </w:r>
      <w:r>
        <w:t xml:space="preserve"> </w:t>
      </w:r>
      <w:r>
        <w:t xml:space="preserve">package to make the most out of your statistical models through marginal means, marginal effects, and model predictions.</w:t>
      </w:r>
      <w:r>
        <w:t xml:space="preserve"> </w:t>
      </w:r>
      <w:r>
        <w:rPr>
          <w:i/>
          <w:iCs/>
        </w:rPr>
        <w:t xml:space="preserve">Journal of Open Source Software</w:t>
      </w:r>
      <w:r>
        <w:t xml:space="preserve">,</w:t>
      </w:r>
      <w:r>
        <w:t xml:space="preserve"> </w:t>
      </w:r>
      <w:r>
        <w:rPr>
          <w:i/>
          <w:iCs/>
        </w:rPr>
        <w:t xml:space="preserve">10</w:t>
      </w:r>
      <w:r>
        <w:t xml:space="preserve">(109), 7969.</w:t>
      </w:r>
      <w:r>
        <w:t xml:space="preserve"> </w:t>
      </w:r>
      <w:hyperlink r:id="rId143">
        <w:r>
          <w:rPr>
            <w:rStyle w:val="Hyperlink"/>
          </w:rPr>
          <w:t xml:space="preserve">https://doi.org/10.21105/joss.07969</w:t>
        </w:r>
      </w:hyperlink>
    </w:p>
    <w:bookmarkEnd w:id="206"/>
    <w:bookmarkStart w:id="207" w:name="ref-matzke2009"/>
    <w:p>
      <w:pPr>
        <w:pStyle w:val="Bibliography"/>
      </w:pPr>
      <w:r>
        <w:t xml:space="preserve">Matzke, D., &amp; Wagenmakers, E.-J. (2009). Psychological interpretation of the ex-gaussian and shifted wald parameters: A diffusion model analysis.</w:t>
      </w:r>
      <w:r>
        <w:t xml:space="preserve"> </w:t>
      </w:r>
      <w:r>
        <w:rPr>
          <w:i/>
          <w:iCs/>
        </w:rPr>
        <w:t xml:space="preserve">Psychonomic Bulletin &amp; Review</w:t>
      </w:r>
      <w:r>
        <w:t xml:space="preserve">,</w:t>
      </w:r>
      <w:r>
        <w:t xml:space="preserve"> </w:t>
      </w:r>
      <w:r>
        <w:rPr>
          <w:i/>
          <w:iCs/>
        </w:rPr>
        <w:t xml:space="preserve">16</w:t>
      </w:r>
      <w:r>
        <w:t xml:space="preserve">(5), 798817.</w:t>
      </w:r>
      <w:r>
        <w:t xml:space="preserve"> </w:t>
      </w:r>
      <w:hyperlink r:id="rId145">
        <w:r>
          <w:rPr>
            <w:rStyle w:val="Hyperlink"/>
          </w:rPr>
          <w:t xml:space="preserve">https://doi.org/10.3758/PBR.16.5.798</w:t>
        </w:r>
      </w:hyperlink>
    </w:p>
    <w:bookmarkEnd w:id="207"/>
    <w:bookmarkStart w:id="208" w:name="ref-here"/>
    <w:p>
      <w:pPr>
        <w:pStyle w:val="Bibliography"/>
      </w:pPr>
      <w:r>
        <w:t xml:space="preserve">Müller, K. (2025).</w:t>
      </w:r>
      <w:r>
        <w:t xml:space="preserve"> </w:t>
      </w:r>
      <w:r>
        <w:rPr>
          <w:i/>
          <w:iCs/>
        </w:rPr>
        <w:t xml:space="preserve">here</w:t>
      </w:r>
      <w:r>
        <w:rPr>
          <w:i/>
          <w:iCs/>
        </w:rPr>
        <w:t xml:space="preserve">: A simpler way to find your files</w:t>
      </w:r>
      <w:r>
        <w:t xml:space="preserve">.</w:t>
      </w:r>
      <w:r>
        <w:t xml:space="preserve"> </w:t>
      </w:r>
      <w:hyperlink r:id="rId147">
        <w:r>
          <w:rPr>
            <w:rStyle w:val="Hyperlink"/>
          </w:rPr>
          <w:t xml:space="preserve">https://doi.org/10.32614/CRAN.package.here</w:t>
        </w:r>
      </w:hyperlink>
    </w:p>
    <w:bookmarkEnd w:id="208"/>
    <w:bookmarkStart w:id="209" w:name="ref-patchwork"/>
    <w:p>
      <w:pPr>
        <w:pStyle w:val="Bibliography"/>
      </w:pPr>
      <w:r>
        <w:t xml:space="preserve">Pedersen, T. L. (2025).</w:t>
      </w:r>
      <w:r>
        <w:t xml:space="preserve"> </w:t>
      </w:r>
      <w:r>
        <w:rPr>
          <w:i/>
          <w:iCs/>
        </w:rPr>
        <w:t xml:space="preserve">patchwork</w:t>
      </w:r>
      <w:r>
        <w:rPr>
          <w:i/>
          <w:iCs/>
        </w:rPr>
        <w:t xml:space="preserve">: The composer of plots</w:t>
      </w:r>
      <w:r>
        <w:t xml:space="preserve">.</w:t>
      </w:r>
      <w:r>
        <w:t xml:space="preserve"> </w:t>
      </w:r>
      <w:hyperlink r:id="rId149">
        <w:r>
          <w:rPr>
            <w:rStyle w:val="Hyperlink"/>
          </w:rPr>
          <w:t xml:space="preserve">https://doi.org/10.32614/CRAN.package.patchwork</w:t>
        </w:r>
      </w:hyperlink>
    </w:p>
    <w:bookmarkEnd w:id="209"/>
    <w:bookmarkStart w:id="210" w:name="ref-ragg"/>
    <w:p>
      <w:pPr>
        <w:pStyle w:val="Bibliography"/>
      </w:pPr>
      <w:r>
        <w:t xml:space="preserve">Pedersen, T. L., &amp; Shemanarev, M. (2026).</w:t>
      </w:r>
      <w:r>
        <w:t xml:space="preserve"> </w:t>
      </w:r>
      <w:r>
        <w:rPr>
          <w:i/>
          <w:iCs/>
        </w:rPr>
        <w:t xml:space="preserve">Ragg: Graphic devices based on AGG</w:t>
      </w:r>
      <w:r>
        <w:t xml:space="preserve">.</w:t>
      </w:r>
      <w:r>
        <w:t xml:space="preserve"> </w:t>
      </w:r>
      <w:hyperlink r:id="rId151">
        <w:r>
          <w:rPr>
            <w:rStyle w:val="Hyperlink"/>
          </w:rPr>
          <w:t xml:space="preserve">https://doi.org/10.32614/CRAN.package.ragg</w:t>
        </w:r>
      </w:hyperlink>
    </w:p>
    <w:bookmarkEnd w:id="210"/>
    <w:bookmarkStart w:id="211" w:name="ref-peirce2019"/>
    <w:p>
      <w:pPr>
        <w:pStyle w:val="Bibliography"/>
      </w:pPr>
      <w:r>
        <w:t xml:space="preserve">Peirce, J., Gray, J. R., Simpson, S., MacAskill, M., Höchenberger, R., Sogo, H., Kastman, E., &amp; Lindeløv, J. K. (2019). PsychoPy2: Experiments in behavior made easy.</w:t>
      </w:r>
      <w:r>
        <w:t xml:space="preserve"> </w:t>
      </w:r>
      <w:r>
        <w:rPr>
          <w:i/>
          <w:iCs/>
        </w:rPr>
        <w:t xml:space="preserve">Behavior Research Methods</w:t>
      </w:r>
      <w:r>
        <w:t xml:space="preserve">,</w:t>
      </w:r>
      <w:r>
        <w:t xml:space="preserve"> </w:t>
      </w:r>
      <w:r>
        <w:rPr>
          <w:i/>
          <w:iCs/>
        </w:rPr>
        <w:t xml:space="preserve">51</w:t>
      </w:r>
      <w:r>
        <w:t xml:space="preserve">(1), 195–203.</w:t>
      </w:r>
      <w:r>
        <w:t xml:space="preserve"> </w:t>
      </w:r>
      <w:hyperlink r:id="rId153">
        <w:r>
          <w:rPr>
            <w:rStyle w:val="Hyperlink"/>
          </w:rPr>
          <w:t xml:space="preserve">https://doi.org/10.3758/s13428-018-01193-y</w:t>
        </w:r>
      </w:hyperlink>
    </w:p>
    <w:bookmarkEnd w:id="211"/>
    <w:bookmarkStart w:id="212" w:name="ref-pfadt2025methodological"/>
    <w:p>
      <w:pPr>
        <w:pStyle w:val="Bibliography"/>
      </w:pPr>
      <w:r>
        <w:t xml:space="preserve">Pfadt, J. M., Bartoš, F., Godmann, H. R., Waaijers, M., Groot, L., Heo, I., et al. (2025). A methodological metamorphosis: The rapid rise of bayesian inference and open science practices in psychology.</w:t>
      </w:r>
      <w:r>
        <w:t xml:space="preserve"> </w:t>
      </w:r>
      <w:r>
        <w:rPr>
          <w:i/>
          <w:iCs/>
        </w:rPr>
        <w:t xml:space="preserve">PsyArXiv</w:t>
      </w:r>
      <w:r>
        <w:t xml:space="preserve">.</w:t>
      </w:r>
      <w:r>
        <w:t xml:space="preserve"> </w:t>
      </w:r>
      <w:hyperlink r:id="rId155">
        <w:r>
          <w:rPr>
            <w:rStyle w:val="Hyperlink"/>
          </w:rPr>
          <w:t xml:space="preserve">https://doi.org/10.31234/osf.io/ck3js_v1</w:t>
        </w:r>
      </w:hyperlink>
    </w:p>
    <w:bookmarkEnd w:id="212"/>
    <w:bookmarkStart w:id="213" w:name="ref-R"/>
    <w:p>
      <w:pPr>
        <w:pStyle w:val="Bibliography"/>
      </w:pPr>
      <w:r>
        <w:t xml:space="preserve">R Core Team. (2026).</w:t>
      </w:r>
      <w:r>
        <w:t xml:space="preserve"> </w:t>
      </w:r>
      <w:r>
        <w:rPr>
          <w:i/>
          <w:iCs/>
        </w:rPr>
        <w:t xml:space="preserve">R: A language and environment for statistical computing</w:t>
      </w:r>
      <w:r>
        <w:t xml:space="preserve">. R Foundation for Statistical Computing.</w:t>
      </w:r>
      <w:r>
        <w:t xml:space="preserve"> </w:t>
      </w:r>
      <w:hyperlink r:id="rId157">
        <w:r>
          <w:rPr>
            <w:rStyle w:val="Hyperlink"/>
          </w:rPr>
          <w:t xml:space="preserve">https://doi.org/10.32614/r.manuals</w:t>
        </w:r>
      </w:hyperlink>
    </w:p>
    <w:bookmarkEnd w:id="213"/>
    <w:bookmarkStart w:id="214" w:name="ref-ratcliff1976"/>
    <w:p>
      <w:pPr>
        <w:pStyle w:val="Bibliography"/>
      </w:pPr>
      <w:r>
        <w:t xml:space="preserve">Ratcliff, R., &amp; Murdock, B. B. (1976). Retrieval processes in recognition memory.</w:t>
      </w:r>
      <w:r>
        <w:t xml:space="preserve"> </w:t>
      </w:r>
      <w:r>
        <w:rPr>
          <w:i/>
          <w:iCs/>
        </w:rPr>
        <w:t xml:space="preserve">Psychological Review</w:t>
      </w:r>
      <w:r>
        <w:t xml:space="preserve">,</w:t>
      </w:r>
      <w:r>
        <w:t xml:space="preserve"> </w:t>
      </w:r>
      <w:r>
        <w:rPr>
          <w:i/>
          <w:iCs/>
        </w:rPr>
        <w:t xml:space="preserve">83</w:t>
      </w:r>
      <w:r>
        <w:t xml:space="preserve">(3), 190–214.</w:t>
      </w:r>
      <w:r>
        <w:t xml:space="preserve"> </w:t>
      </w:r>
      <w:hyperlink r:id="rId159">
        <w:r>
          <w:rPr>
            <w:rStyle w:val="Hyperlink"/>
          </w:rPr>
          <w:t xml:space="preserve">https://doi.org/10.1037/0033-295X.83.3.190</w:t>
        </w:r>
      </w:hyperlink>
    </w:p>
    <w:bookmarkEnd w:id="214"/>
    <w:bookmarkStart w:id="215" w:name="ref-rix"/>
    <w:p>
      <w:pPr>
        <w:pStyle w:val="Bibliography"/>
      </w:pPr>
      <w:r>
        <w:t xml:space="preserve">Rodrigues, B., &amp; Baumann, P. (2026).</w:t>
      </w:r>
      <w:r>
        <w:t xml:space="preserve"> </w:t>
      </w:r>
      <w:r>
        <w:rPr>
          <w:i/>
          <w:iCs/>
        </w:rPr>
        <w:t xml:space="preserve">Rix: Reproducible data science environments with ’nix’</w:t>
      </w:r>
      <w:r>
        <w:t xml:space="preserve">.</w:t>
      </w:r>
      <w:r>
        <w:t xml:space="preserve"> </w:t>
      </w:r>
      <w:hyperlink r:id="rId161">
        <w:r>
          <w:rPr>
            <w:rStyle w:val="Hyperlink"/>
          </w:rPr>
          <w:t xml:space="preserve">https://docs.ropensci.org/rix/</w:t>
        </w:r>
      </w:hyperlink>
    </w:p>
    <w:bookmarkEnd w:id="215"/>
    <w:bookmarkStart w:id="216" w:name="ref-serranocarot2026"/>
    <w:p>
      <w:pPr>
        <w:pStyle w:val="Bibliography"/>
      </w:pPr>
      <w:r>
        <w:t xml:space="preserve">Serrano-Carot, M., Gómez, P., &amp; Angele, B. (2026). Articles as flankers: The effect of grammatical gender depends on the task.</w:t>
      </w:r>
      <w:r>
        <w:t xml:space="preserve"> </w:t>
      </w:r>
      <w:r>
        <w:rPr>
          <w:i/>
          <w:iCs/>
        </w:rPr>
        <w:t xml:space="preserve">Language, Cognition and Neuroscience</w:t>
      </w:r>
      <w:r>
        <w:t xml:space="preserve">,</w:t>
      </w:r>
      <w:r>
        <w:t xml:space="preserve"> </w:t>
      </w:r>
      <w:r>
        <w:rPr>
          <w:i/>
          <w:iCs/>
        </w:rPr>
        <w:t xml:space="preserve">41</w:t>
      </w:r>
      <w:r>
        <w:t xml:space="preserve">(5), 676–698.</w:t>
      </w:r>
      <w:r>
        <w:t xml:space="preserve"> </w:t>
      </w:r>
      <w:hyperlink r:id="rId163">
        <w:r>
          <w:rPr>
            <w:rStyle w:val="Hyperlink"/>
          </w:rPr>
          <w:t xml:space="preserve">https://doi.org/10.1080/23273798.2026.2657830</w:t>
        </w:r>
      </w:hyperlink>
    </w:p>
    <w:bookmarkEnd w:id="216"/>
    <w:bookmarkStart w:id="217" w:name="ref-python"/>
    <w:p>
      <w:pPr>
        <w:pStyle w:val="Bibliography"/>
      </w:pPr>
      <w:r>
        <w:t xml:space="preserve">Van Rossum, G., &amp; Drake, F. L. (2009).</w:t>
      </w:r>
      <w:r>
        <w:t xml:space="preserve"> </w:t>
      </w:r>
      <w:r>
        <w:rPr>
          <w:i/>
          <w:iCs/>
        </w:rPr>
        <w:t xml:space="preserve">Python 3 reference manual</w:t>
      </w:r>
      <w:r>
        <w:t xml:space="preserve">. CreateSpace.</w:t>
      </w:r>
    </w:p>
    <w:bookmarkEnd w:id="217"/>
    <w:bookmarkStart w:id="218" w:name="ref-vazire2018"/>
    <w:p>
      <w:pPr>
        <w:pStyle w:val="Bibliography"/>
      </w:pPr>
      <w:r>
        <w:t xml:space="preserve">Vazire, S. (2018). Implications of the credibility revolution for productivity, creativity, and progress.</w:t>
      </w:r>
      <w:r>
        <w:t xml:space="preserve"> </w:t>
      </w:r>
      <w:r>
        <w:rPr>
          <w:i/>
          <w:iCs/>
        </w:rPr>
        <w:t xml:space="preserve">Perspectives on Psychological Science</w:t>
      </w:r>
      <w:r>
        <w:t xml:space="preserve">,</w:t>
      </w:r>
      <w:r>
        <w:t xml:space="preserve"> </w:t>
      </w:r>
      <w:r>
        <w:rPr>
          <w:i/>
          <w:iCs/>
        </w:rPr>
        <w:t xml:space="preserve">13</w:t>
      </w:r>
      <w:r>
        <w:t xml:space="preserve">(4), 411–417.</w:t>
      </w:r>
      <w:r>
        <w:t xml:space="preserve"> </w:t>
      </w:r>
      <w:hyperlink r:id="rId166">
        <w:r>
          <w:rPr>
            <w:rStyle w:val="Hyperlink"/>
          </w:rPr>
          <w:t xml:space="preserve">https://doi.org/10.1177/1745691617751884</w:t>
        </w:r>
      </w:hyperlink>
    </w:p>
    <w:bookmarkEnd w:id="218"/>
    <w:bookmarkStart w:id="219" w:name="ref-whelan2008"/>
    <w:p>
      <w:pPr>
        <w:pStyle w:val="Bibliography"/>
      </w:pPr>
      <w:r>
        <w:t xml:space="preserve">Whelan, R. (2008). Effective analysis of reaction time data.</w:t>
      </w:r>
      <w:r>
        <w:t xml:space="preserve"> </w:t>
      </w:r>
      <w:r>
        <w:rPr>
          <w:i/>
          <w:iCs/>
        </w:rPr>
        <w:t xml:space="preserve">The Psychological Record</w:t>
      </w:r>
      <w:r>
        <w:t xml:space="preserve">,</w:t>
      </w:r>
      <w:r>
        <w:t xml:space="preserve"> </w:t>
      </w:r>
      <w:r>
        <w:rPr>
          <w:i/>
          <w:iCs/>
        </w:rPr>
        <w:t xml:space="preserve">58</w:t>
      </w:r>
      <w:r>
        <w:t xml:space="preserve">(3), 475–482.</w:t>
      </w:r>
      <w:r>
        <w:t xml:space="preserve"> </w:t>
      </w:r>
      <w:hyperlink r:id="rId168">
        <w:r>
          <w:rPr>
            <w:rStyle w:val="Hyperlink"/>
          </w:rPr>
          <w:t xml:space="preserve">https://doi.org/10.1007/BF03395630</w:t>
        </w:r>
      </w:hyperlink>
    </w:p>
    <w:bookmarkEnd w:id="219"/>
    <w:bookmarkStart w:id="220" w:name="ref-tidyverse"/>
    <w:p>
      <w:pPr>
        <w:pStyle w:val="Bibliography"/>
      </w:pPr>
      <w:r>
        <w:t xml:space="preserve">Wickham, H., Averick, M., Bryan, J., Chang, W., McGowan, L. D., François, R., Grolemund, G., Hayes, A., Henry, L., Hester, J., Kuhn, M., Pedersen, T. L., Miller, E., Bache, S. M., Müller, K., Ooms, J., Robinson, D., Seidel, D. P., Spinu, V., … Yutani, H. (2019). Welcome to the</w:t>
      </w:r>
      <w:r>
        <w:t xml:space="preserve"> </w:t>
      </w:r>
      <w:r>
        <w:t xml:space="preserve">tidyverse</w:t>
      </w:r>
      <w:r>
        <w:t xml:space="preserve">.</w:t>
      </w:r>
      <w:r>
        <w:t xml:space="preserve"> </w:t>
      </w:r>
      <w:r>
        <w:rPr>
          <w:i/>
          <w:iCs/>
        </w:rPr>
        <w:t xml:space="preserve">Journal of Open Source Software</w:t>
      </w:r>
      <w:r>
        <w:t xml:space="preserve">,</w:t>
      </w:r>
      <w:r>
        <w:t xml:space="preserve"> </w:t>
      </w:r>
      <w:r>
        <w:rPr>
          <w:i/>
          <w:iCs/>
        </w:rPr>
        <w:t xml:space="preserve">4</w:t>
      </w:r>
      <w:r>
        <w:t xml:space="preserve">(43), 1686.</w:t>
      </w:r>
      <w:r>
        <w:t xml:space="preserve"> </w:t>
      </w:r>
      <w:hyperlink r:id="rId170">
        <w:r>
          <w:rPr>
            <w:rStyle w:val="Hyperlink"/>
          </w:rPr>
          <w:t xml:space="preserve">https://doi.org/10.21105/joss.01686</w:t>
        </w:r>
      </w:hyperlink>
    </w:p>
    <w:bookmarkEnd w:id="220"/>
    <w:bookmarkStart w:id="221" w:name="ref-wilcox"/>
    <w:p>
      <w:pPr>
        <w:pStyle w:val="Bibliography"/>
      </w:pPr>
      <w:r>
        <w:t xml:space="preserve">Wilcox, R. R., &amp; Keselman, H. J. (2003). Modern robust data analysis methods: Measures of central tendency.</w:t>
      </w:r>
      <w:r>
        <w:t xml:space="preserve"> </w:t>
      </w:r>
      <w:r>
        <w:rPr>
          <w:i/>
          <w:iCs/>
        </w:rPr>
        <w:t xml:space="preserve">Psychological Methods</w:t>
      </w:r>
      <w:r>
        <w:t xml:space="preserve">,</w:t>
      </w:r>
      <w:r>
        <w:t xml:space="preserve"> </w:t>
      </w:r>
      <w:r>
        <w:rPr>
          <w:i/>
          <w:iCs/>
        </w:rPr>
        <w:t xml:space="preserve">8</w:t>
      </w:r>
      <w:r>
        <w:t xml:space="preserve">(3), 254274.</w:t>
      </w:r>
      <w:r>
        <w:t xml:space="preserve"> </w:t>
      </w:r>
      <w:hyperlink r:id="rId172">
        <w:r>
          <w:rPr>
            <w:rStyle w:val="Hyperlink"/>
          </w:rPr>
          <w:t xml:space="preserve">https://doi.org/10.1037/1082-989X.8.3.254</w:t>
        </w:r>
      </w:hyperlink>
    </w:p>
    <w:bookmarkEnd w:id="221"/>
    <w:bookmarkStart w:id="222" w:name="ref-rmarkdown2018"/>
    <w:p>
      <w:pPr>
        <w:pStyle w:val="Bibliography"/>
      </w:pPr>
      <w:r>
        <w:t xml:space="preserve">Xie, Y., Allaire, J. J., &amp; Grolemund, G. (2018).</w:t>
      </w:r>
      <w:r>
        <w:t xml:space="preserve"> </w:t>
      </w:r>
      <w:r>
        <w:rPr>
          <w:i/>
          <w:iCs/>
        </w:rPr>
        <w:t xml:space="preserve">R markdown: The definitive guide</w:t>
      </w:r>
      <w:r>
        <w:t xml:space="preserve">. Chapman; Hall/CRC.</w:t>
      </w:r>
      <w:r>
        <w:t xml:space="preserve"> </w:t>
      </w:r>
      <w:hyperlink r:id="rId174">
        <w:r>
          <w:rPr>
            <w:rStyle w:val="Hyperlink"/>
          </w:rPr>
          <w:t xml:space="preserve">https://yihui.org/rmarkdown/</w:t>
        </w:r>
      </w:hyperlink>
    </w:p>
    <w:bookmarkEnd w:id="222"/>
    <w:bookmarkStart w:id="223" w:name="ref-rmarkdown2020"/>
    <w:p>
      <w:pPr>
        <w:pStyle w:val="Bibliography"/>
      </w:pPr>
      <w:r>
        <w:t xml:space="preserve">Xie, Y., Dervieux, C., &amp; Riederer, E. (2020).</w:t>
      </w:r>
      <w:r>
        <w:t xml:space="preserve"> </w:t>
      </w:r>
      <w:r>
        <w:rPr>
          <w:i/>
          <w:iCs/>
        </w:rPr>
        <w:t xml:space="preserve">R markdown cookbook</w:t>
      </w:r>
      <w:r>
        <w:t xml:space="preserve">. Chapman; Hall/CRC.</w:t>
      </w:r>
      <w:r>
        <w:t xml:space="preserve"> </w:t>
      </w:r>
      <w:hyperlink r:id="rId176">
        <w:r>
          <w:rPr>
            <w:rStyle w:val="Hyperlink"/>
          </w:rPr>
          <w:t xml:space="preserve">https://yihui.org/rmarkdown-cookbook</w:t>
        </w:r>
      </w:hyperlink>
    </w:p>
    <w:bookmarkEnd w:id="223"/>
    <w:bookmarkEnd w:id="224"/>
    <w:bookmarkEnd w:id="225"/>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lnNumType w:countBy="1" w:restart="continuous"/>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0">
    <w:p>
      <w:pPr>
        <w:pStyle w:val="FootnoteText"/>
      </w:pPr>
      <w:r>
        <w:rPr>
          <w:rStyle w:val="FootnoteReference"/>
        </w:rPr>
        <w:footnoteRef/>
      </w:r>
      <w:r>
        <w:t xml:space="preserve"> </w:t>
      </w:r>
      <w:r>
        <w:t xml:space="preserve">We used the following R packages: bayestestR v. 0.18.1</w:t>
      </w:r>
      <w:r>
        <w:t xml:space="preserve"> </w:t>
      </w:r>
      <w:r>
        <w:t xml:space="preserve">(</w:t>
      </w:r>
      <w:hyperlink w:anchor="ref-bayestestR">
        <w:r>
          <w:rPr>
            <w:rStyle w:val="Hyperlink"/>
          </w:rPr>
          <w:t xml:space="preserve">Makowski et al., 2019</w:t>
        </w:r>
      </w:hyperlink>
      <w:r>
        <w:t xml:space="preserve">)</w:t>
      </w:r>
      <w:r>
        <w:t xml:space="preserve">, brms v. 2.23.0</w:t>
      </w:r>
      <w:r>
        <w:t xml:space="preserve"> </w:t>
      </w:r>
      <w:r>
        <w:t xml:space="preserve">(</w:t>
      </w:r>
      <w:hyperlink w:anchor="ref-brms2017">
        <w:r>
          <w:rPr>
            <w:rStyle w:val="Hyperlink"/>
          </w:rPr>
          <w:t xml:space="preserve">Bürkner, 2017</w:t>
        </w:r>
      </w:hyperlink>
      <w:r>
        <w:t xml:space="preserve">,</w:t>
      </w:r>
      <w:r>
        <w:t xml:space="preserve"> </w:t>
      </w:r>
      <w:hyperlink w:anchor="ref-brms2018">
        <w:r>
          <w:rPr>
            <w:rStyle w:val="Hyperlink"/>
          </w:rPr>
          <w:t xml:space="preserve">2018</w:t>
        </w:r>
      </w:hyperlink>
      <w:r>
        <w:t xml:space="preserve">,</w:t>
      </w:r>
      <w:r>
        <w:t xml:space="preserve"> </w:t>
      </w:r>
      <w:hyperlink w:anchor="ref-brms2021">
        <w:r>
          <w:rPr>
            <w:rStyle w:val="Hyperlink"/>
          </w:rPr>
          <w:t xml:space="preserve">2021</w:t>
        </w:r>
      </w:hyperlink>
      <w:r>
        <w:t xml:space="preserve">)</w:t>
      </w:r>
      <w:r>
        <w:t xml:space="preserve">, cogmod v. 0.0.21</w:t>
      </w:r>
      <w:r>
        <w:t xml:space="preserve"> </w:t>
      </w:r>
      <w:r>
        <w:t xml:space="preserve">(</w:t>
      </w:r>
      <w:hyperlink w:anchor="ref-makowski2026cogmod">
        <w:r>
          <w:rPr>
            <w:rStyle w:val="Hyperlink"/>
          </w:rPr>
          <w:t xml:space="preserve">Makowski, 2026</w:t>
        </w:r>
      </w:hyperlink>
      <w:r>
        <w:t xml:space="preserve">)</w:t>
      </w:r>
      <w:r>
        <w:t xml:space="preserve">, emmeans v. 2.0.4</w:t>
      </w:r>
      <w:r>
        <w:t xml:space="preserve"> </w:t>
      </w:r>
      <w:r>
        <w:t xml:space="preserve">(</w:t>
      </w:r>
      <w:hyperlink w:anchor="ref-emmeans">
        <w:r>
          <w:rPr>
            <w:rStyle w:val="Hyperlink"/>
          </w:rPr>
          <w:t xml:space="preserve">Lenth &amp; Piaskowski, 2026</w:t>
        </w:r>
      </w:hyperlink>
      <w:r>
        <w:t xml:space="preserve">)</w:t>
      </w:r>
      <w:r>
        <w:t xml:space="preserve">, fs v. 2.1.0</w:t>
      </w:r>
      <w:r>
        <w:t xml:space="preserve"> </w:t>
      </w:r>
      <w:r>
        <w:t xml:space="preserve">(</w:t>
      </w:r>
      <w:hyperlink w:anchor="ref-fs">
        <w:r>
          <w:rPr>
            <w:rStyle w:val="Hyperlink"/>
          </w:rPr>
          <w:t xml:space="preserve">Hester et al., 2026</w:t>
        </w:r>
      </w:hyperlink>
      <w:r>
        <w:t xml:space="preserve">)</w:t>
      </w:r>
      <w:r>
        <w:t xml:space="preserve">, ggdist v. 3.3.3</w:t>
      </w:r>
      <w:r>
        <w:t xml:space="preserve"> </w:t>
      </w:r>
      <w:r>
        <w:t xml:space="preserve">(</w:t>
      </w:r>
      <w:hyperlink w:anchor="ref-ggdist2024">
        <w:r>
          <w:rPr>
            <w:rStyle w:val="Hyperlink"/>
          </w:rPr>
          <w:t xml:space="preserve">Kay, 2024</w:t>
        </w:r>
      </w:hyperlink>
      <w:r>
        <w:t xml:space="preserve">,</w:t>
      </w:r>
      <w:r>
        <w:t xml:space="preserve"> </w:t>
      </w:r>
      <w:hyperlink w:anchor="ref-ggdist2025">
        <w:r>
          <w:rPr>
            <w:rStyle w:val="Hyperlink"/>
          </w:rPr>
          <w:t xml:space="preserve">2025</w:t>
        </w:r>
      </w:hyperlink>
      <w:r>
        <w:t xml:space="preserve">)</w:t>
      </w:r>
      <w:r>
        <w:t xml:space="preserve">, here v. 1.0.2</w:t>
      </w:r>
      <w:r>
        <w:t xml:space="preserve"> </w:t>
      </w:r>
      <w:r>
        <w:t xml:space="preserve">(</w:t>
      </w:r>
      <w:hyperlink w:anchor="ref-here">
        <w:r>
          <w:rPr>
            <w:rStyle w:val="Hyperlink"/>
          </w:rPr>
          <w:t xml:space="preserve">Müller, 2025</w:t>
        </w:r>
      </w:hyperlink>
      <w:r>
        <w:t xml:space="preserve">)</w:t>
      </w:r>
      <w:r>
        <w:t xml:space="preserve">, modelbased v. 0.16.0</w:t>
      </w:r>
      <w:r>
        <w:t xml:space="preserve"> </w:t>
      </w:r>
      <w:r>
        <w:t xml:space="preserve">(</w:t>
      </w:r>
      <w:hyperlink w:anchor="ref-makowski2025modelbased">
        <w:r>
          <w:rPr>
            <w:rStyle w:val="Hyperlink"/>
          </w:rPr>
          <w:t xml:space="preserve">Makowski et al., 2025</w:t>
        </w:r>
      </w:hyperlink>
      <w:r>
        <w:t xml:space="preserve">)</w:t>
      </w:r>
      <w:r>
        <w:t xml:space="preserve">, parameters v. 0.29.2</w:t>
      </w:r>
      <w:r>
        <w:t xml:space="preserve"> </w:t>
      </w:r>
      <w:r>
        <w:t xml:space="preserve">(</w:t>
      </w:r>
      <w:hyperlink w:anchor="ref-parameters">
        <w:r>
          <w:rPr>
            <w:rStyle w:val="Hyperlink"/>
          </w:rPr>
          <w:t xml:space="preserve">Lüdecke et al., 2020</w:t>
        </w:r>
      </w:hyperlink>
      <w:r>
        <w:t xml:space="preserve">)</w:t>
      </w:r>
      <w:r>
        <w:t xml:space="preserve">, patchwork v. 1.3.2</w:t>
      </w:r>
      <w:r>
        <w:t xml:space="preserve"> </w:t>
      </w:r>
      <w:r>
        <w:t xml:space="preserve">(</w:t>
      </w:r>
      <w:hyperlink w:anchor="ref-patchwork">
        <w:r>
          <w:rPr>
            <w:rStyle w:val="Hyperlink"/>
          </w:rPr>
          <w:t xml:space="preserve">Pedersen, 2025</w:t>
        </w:r>
      </w:hyperlink>
      <w:r>
        <w:t xml:space="preserve">)</w:t>
      </w:r>
      <w:r>
        <w:t xml:space="preserve">, qs2 v. 0.2.2</w:t>
      </w:r>
      <w:r>
        <w:t xml:space="preserve"> </w:t>
      </w:r>
      <w:r>
        <w:t xml:space="preserve">(</w:t>
      </w:r>
      <w:hyperlink w:anchor="ref-qs2">
        <w:r>
          <w:rPr>
            <w:rStyle w:val="Hyperlink"/>
          </w:rPr>
          <w:t xml:space="preserve">Ching, 2026</w:t>
        </w:r>
      </w:hyperlink>
      <w:r>
        <w:t xml:space="preserve">)</w:t>
      </w:r>
      <w:r>
        <w:t xml:space="preserve">, ragg v. 1.5.2</w:t>
      </w:r>
      <w:r>
        <w:t xml:space="preserve"> </w:t>
      </w:r>
      <w:r>
        <w:t xml:space="preserve">(</w:t>
      </w:r>
      <w:hyperlink w:anchor="ref-ragg">
        <w:r>
          <w:rPr>
            <w:rStyle w:val="Hyperlink"/>
          </w:rPr>
          <w:t xml:space="preserve">Pedersen &amp; Shemanarev, 2026</w:t>
        </w:r>
      </w:hyperlink>
      <w:r>
        <w:t xml:space="preserve">)</w:t>
      </w:r>
      <w:r>
        <w:t xml:space="preserve">, rmarkdown v. 2.31</w:t>
      </w:r>
      <w:r>
        <w:t xml:space="preserve"> </w:t>
      </w:r>
      <w:r>
        <w:t xml:space="preserve">(</w:t>
      </w:r>
      <w:hyperlink w:anchor="ref-rmarkdown2026">
        <w:r>
          <w:rPr>
            <w:rStyle w:val="Hyperlink"/>
          </w:rPr>
          <w:t xml:space="preserve">Allaire et al., 2026</w:t>
        </w:r>
      </w:hyperlink>
      <w:r>
        <w:t xml:space="preserve">;</w:t>
      </w:r>
      <w:r>
        <w:t xml:space="preserve"> </w:t>
      </w:r>
      <w:hyperlink w:anchor="ref-rmarkdown2018">
        <w:r>
          <w:rPr>
            <w:rStyle w:val="Hyperlink"/>
          </w:rPr>
          <w:t xml:space="preserve">Xie et al., 2018</w:t>
        </w:r>
      </w:hyperlink>
      <w:r>
        <w:t xml:space="preserve">,</w:t>
      </w:r>
      <w:r>
        <w:t xml:space="preserve"> </w:t>
      </w:r>
      <w:hyperlink w:anchor="ref-rmarkdown2020">
        <w:r>
          <w:rPr>
            <w:rStyle w:val="Hyperlink"/>
          </w:rPr>
          <w:t xml:space="preserve">2020</w:t>
        </w:r>
      </w:hyperlink>
      <w:r>
        <w:t xml:space="preserve">)</w:t>
      </w:r>
      <w:r>
        <w:t xml:space="preserve">, tidyverse v. 2.0.0</w:t>
      </w:r>
      <w:r>
        <w:t xml:space="preserve"> </w:t>
      </w:r>
      <w:r>
        <w:t xml:space="preserve">(</w:t>
      </w:r>
      <w:hyperlink w:anchor="ref-tidyverse">
        <w:r>
          <w:rPr>
            <w:rStyle w:val="Hyperlink"/>
          </w:rPr>
          <w:t xml:space="preserve">Wickham et al., 2019</w:t>
        </w:r>
      </w:hyperlink>
      <w:r>
        <w:t xml:space="preserve">)</w:t>
      </w:r>
      <w:r>
        <w:t xml:space="preserve">, tinytable v. 0.17.0</w:t>
      </w:r>
      <w:r>
        <w:t xml:space="preserve"> </w:t>
      </w:r>
      <w:r>
        <w:t xml:space="preserve">(</w:t>
      </w:r>
      <w:hyperlink w:anchor="ref-tinytable">
        <w:r>
          <w:rPr>
            <w:rStyle w:val="Hyperlink"/>
          </w:rPr>
          <w:t xml:space="preserve">Arel-Bundock, 2026</w:t>
        </w:r>
      </w:hyperlink>
      <w:r>
        <w:t xml:space="preserve">)</w:t>
      </w:r>
      <w:r>
        <w:t xml:space="preserve">. In addition, we use rix</w:t>
      </w:r>
      <w:r>
        <w:t xml:space="preserve"> </w:t>
      </w:r>
      <w:r>
        <w:t xml:space="preserve">(</w:t>
      </w:r>
      <w:hyperlink w:anchor="ref-rix">
        <w:r>
          <w:rPr>
            <w:rStyle w:val="Hyperlink"/>
          </w:rPr>
          <w:t xml:space="preserve">Rodrigues &amp; Baumann, 2026</w:t>
        </w:r>
      </w:hyperlink>
      <w:r>
        <w:t xml:space="preserve">)</w:t>
      </w:r>
      <w:r>
        <w:t xml:space="preserve"> </w:t>
      </w:r>
      <w:r>
        <w:t xml:space="preserve">which uses the nix package and software ecosystem to ensure computational reproducibility.</w:t>
      </w:r>
    </w:p>
  </w:footnote>
  <w:footnote w:id="58">
    <w:p>
      <w:pPr>
        <w:pStyle w:val="FootnoteText"/>
      </w:pPr>
      <w:r>
        <w:rPr>
          <w:rStyle w:val="FootnoteReference"/>
        </w:rPr>
        <w:footnoteRef/>
      </w:r>
      <w:r>
        <w:t xml:space="preserve"> </w:t>
      </w:r>
      <w:hyperlink r:id="rId59">
        <w:r>
          <w:rPr>
            <w:rStyle w:val="Hyperlink"/>
          </w:rPr>
          <w:t xml:space="preserve">https://github.com/DominiqueMakowski/cogmod/blob/4b10ea5e00e02984d39c0749adf8dc0b9c4ab15b/R/rt_exgaussian_brms.R#L30-L37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 apaquarto-original-runningheadplain:  -->
    <w:r>
      <w:t xml:space="preserve">EX-GAUSSIAN PARAMETERIZATION IN BRMS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 apaquarto-original-runninghead: <w:sdt><w:sdtPr><w:alias w:val="Comments"/><w:tag w:val=""/><w:id w:val="411821190"/><w:placeholder><w:docPart w:val="0C02FC99099648D19246354A6487E13A"/></w:placeholder><w:showingPlcHdr/><w:dataBinding w:prefixMappings="xmlns:ns0='http://purl.org/dc/elements/1.1/' xmlns:ns1='http://schemas.openxmlformats.org/package/2006/metadata/core-properties' " w:xpath="/ns1:coreProperties[1]/ns0:description[1]" w:storeItemID="{6C3C8BC8-F283-45AE-878A-BAB7291924A1}"/><w:text w:multiLine="1"/></w:sdtPr><w:sdtContent><w:r w:rsidR="00BB5C76" w:rsidRPr="00361F1C"><w:rPr><w:rStyle w:val="PlaceholderText"/></w:rPr><w:t>[Comments]</w:t></w:r></w:sdtContent></w:sdt> -->
    <w:sdt>
      <w:sdtPr>
        <w:alias w:val="Comments"/>
        <w:tag w:val=""/>
        <w:id w:val="411821190"/>
        <w:placeholder>
          <w:docPart w:val="0C02FC99099648D19246354A6487E13A"/>
        </w:placeholder>
        <w:dataBinding w:prefixMappings="xmlns:ns0='http://purl.org/dc/elements/1.1/' xmlns:ns1='http://schemas.openxmlformats.org/package/2006/metadata/core-properties' " w:xpath="/ns1:coreProperties[1]/ns0:description[1]" w:storeItemID="{6C3C8BC8-F283-45AE-878A-BAB7291924A1}"/>
        <w:text w:multiLine="1"/>
      </w:sdtPr>
      <w:sdtContent>
        <w:r>
          <w:t xml:space="preserve">EX-GAUSSIAN PARAMETERIZATION IN BRMS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 apaquarto-original-runningheadplain:  -->
    <w:r>
      <w:t xml:space="preserve">EX-GAUSSIAN PARAMETERIZATION IN BRMS</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23" Target="media/rId23.svg" /><Relationship Type="http://schemas.openxmlformats.org/officeDocument/2006/relationships/image" Id="rId65" Target="media/rId65.png" /><Relationship Type="http://schemas.openxmlformats.org/officeDocument/2006/relationships/image" Id="rId44" Target="media/rId44.png" /><Relationship Type="http://schemas.openxmlformats.org/officeDocument/2006/relationships/hyperlink" Id="rId161" Target="https://docs.ropensci.org/rix/" TargetMode="External" /><Relationship Type="http://schemas.openxmlformats.org/officeDocument/2006/relationships/hyperlink" Id="rId168" Target="https://doi.org/10.1007/BF03395630" TargetMode="External" /><Relationship Type="http://schemas.openxmlformats.org/officeDocument/2006/relationships/hyperlink" Id="rId100" Target="https://doi.org/10.1016/j.jml.2007.10.004" TargetMode="External" /><Relationship Type="http://schemas.openxmlformats.org/officeDocument/2006/relationships/hyperlink" Id="rId115" Target="https://doi.org/10.1023/A:1023202116609" TargetMode="External" /><Relationship Type="http://schemas.openxmlformats.org/officeDocument/2006/relationships/hyperlink" Id="rId159" Target="https://doi.org/10.1037/0033-295X.83.3.190" TargetMode="External" /><Relationship Type="http://schemas.openxmlformats.org/officeDocument/2006/relationships/hyperlink" Id="rId125" Target="https://doi.org/10.1037/0096-3445.132.1.47" TargetMode="External" /><Relationship Type="http://schemas.openxmlformats.org/officeDocument/2006/relationships/hyperlink" Id="rId117" Target="https://doi.org/10.1037/0278-7393.10.4.680" TargetMode="External" /><Relationship Type="http://schemas.openxmlformats.org/officeDocument/2006/relationships/hyperlink" Id="rId172" Target="https://doi.org/10.1037/1082-989X.8.3.254" TargetMode="External" /><Relationship Type="http://schemas.openxmlformats.org/officeDocument/2006/relationships/hyperlink" Id="rId131" Target="https://doi.org/10.1037/xlm0001239" TargetMode="External" /><Relationship Type="http://schemas.openxmlformats.org/officeDocument/2006/relationships/hyperlink" Id="rId163" Target="https://doi.org/10.1080/23273798.2026.2657830" TargetMode="External" /><Relationship Type="http://schemas.openxmlformats.org/officeDocument/2006/relationships/hyperlink" Id="rId127" Target="https://doi.org/10.1109/TVCG.2023.3327195" TargetMode="External" /><Relationship Type="http://schemas.openxmlformats.org/officeDocument/2006/relationships/hyperlink" Id="rId102" Target="https://doi.org/10.1137/141000671" TargetMode="External" /><Relationship Type="http://schemas.openxmlformats.org/officeDocument/2006/relationships/hyperlink" Id="rId98" Target="https://doi.org/10.1177/0963721411408885" TargetMode="External" /><Relationship Type="http://schemas.openxmlformats.org/officeDocument/2006/relationships/hyperlink" Id="rId166" Target="https://doi.org/10.1177/1745691617751884" TargetMode="External" /><Relationship Type="http://schemas.openxmlformats.org/officeDocument/2006/relationships/hyperlink" Id="rId92" Target="https://doi.org/10.1177/17470218231200338" TargetMode="External" /><Relationship Type="http://schemas.openxmlformats.org/officeDocument/2006/relationships/hyperlink" Id="rId121" Target="https://doi.org/10.1177/2515245918771329" TargetMode="External" /><Relationship Type="http://schemas.openxmlformats.org/officeDocument/2006/relationships/hyperlink" Id="rId110" Target="https://doi.org/10.18637/jss.v076.i01" TargetMode="External" /><Relationship Type="http://schemas.openxmlformats.org/officeDocument/2006/relationships/hyperlink" Id="rId104" Target="https://doi.org/10.18637/jss.v080.i01" TargetMode="External" /><Relationship Type="http://schemas.openxmlformats.org/officeDocument/2006/relationships/hyperlink" Id="rId108" Target="https://doi.org/10.18637/jss.v100.i05" TargetMode="External" /><Relationship Type="http://schemas.openxmlformats.org/officeDocument/2006/relationships/hyperlink" Id="rId137" Target="https://doi.org/10.21105/joss.01412" TargetMode="External" /><Relationship Type="http://schemas.openxmlformats.org/officeDocument/2006/relationships/hyperlink" Id="rId141" Target="https://doi.org/10.21105/joss.01541" TargetMode="External" /><Relationship Type="http://schemas.openxmlformats.org/officeDocument/2006/relationships/hyperlink" Id="rId170" Target="https://doi.org/10.21105/joss.01686" TargetMode="External" /><Relationship Type="http://schemas.openxmlformats.org/officeDocument/2006/relationships/hyperlink" Id="rId135" Target="https://doi.org/10.21105/joss.02445" TargetMode="External" /><Relationship Type="http://schemas.openxmlformats.org/officeDocument/2006/relationships/hyperlink" Id="rId143" Target="https://doi.org/10.21105/joss.07969" TargetMode="External" /><Relationship Type="http://schemas.openxmlformats.org/officeDocument/2006/relationships/hyperlink" Id="rId96" Target="https://doi.org/10.21500/20112084.807" TargetMode="External" /><Relationship Type="http://schemas.openxmlformats.org/officeDocument/2006/relationships/hyperlink" Id="rId155" Target="https://doi.org/10.31234/osf.io/ck3js_v1" TargetMode="External" /><Relationship Type="http://schemas.openxmlformats.org/officeDocument/2006/relationships/hyperlink" Id="rId133" Target="https://doi.org/10.32614/CRAN.package.emmeans" TargetMode="External" /><Relationship Type="http://schemas.openxmlformats.org/officeDocument/2006/relationships/hyperlink" Id="rId123" Target="https://doi.org/10.32614/CRAN.package.fs" TargetMode="External" /><Relationship Type="http://schemas.openxmlformats.org/officeDocument/2006/relationships/hyperlink" Id="rId147" Target="https://doi.org/10.32614/CRAN.package.here" TargetMode="External" /><Relationship Type="http://schemas.openxmlformats.org/officeDocument/2006/relationships/hyperlink" Id="rId149" Target="https://doi.org/10.32614/CRAN.package.patchwork" TargetMode="External" /><Relationship Type="http://schemas.openxmlformats.org/officeDocument/2006/relationships/hyperlink" Id="rId112" Target="https://doi.org/10.32614/CRAN.package.qs2" TargetMode="External" /><Relationship Type="http://schemas.openxmlformats.org/officeDocument/2006/relationships/hyperlink" Id="rId151" Target="https://doi.org/10.32614/CRAN.package.ragg" TargetMode="External" /><Relationship Type="http://schemas.openxmlformats.org/officeDocument/2006/relationships/hyperlink" Id="rId94" Target="https://doi.org/10.32614/CRAN.package.tinytable" TargetMode="External" /><Relationship Type="http://schemas.openxmlformats.org/officeDocument/2006/relationships/hyperlink" Id="rId106" Target="https://doi.org/10.32614/RJ-2018-017" TargetMode="External" /><Relationship Type="http://schemas.openxmlformats.org/officeDocument/2006/relationships/hyperlink" Id="rId157" Target="https://doi.org/10.32614/r.manuals" TargetMode="External" /><Relationship Type="http://schemas.openxmlformats.org/officeDocument/2006/relationships/hyperlink" Id="rId145" Target="https://doi.org/10.3758/PBR.16.5.798" TargetMode="External" /><Relationship Type="http://schemas.openxmlformats.org/officeDocument/2006/relationships/hyperlink" Id="rId153" Target="https://doi.org/10.3758/s13428-018-01193-y" TargetMode="External" /><Relationship Type="http://schemas.openxmlformats.org/officeDocument/2006/relationships/hyperlink" Id="rId90" Target="https://doi.org/10.3758/s13428-021-01742-y" TargetMode="External" /><Relationship Type="http://schemas.openxmlformats.org/officeDocument/2006/relationships/hyperlink" Id="rId129" Target="https://doi.org/10.5281/zenodo.3879620" TargetMode="External" /><Relationship Type="http://schemas.openxmlformats.org/officeDocument/2006/relationships/hyperlink" Id="rId119" Target="https://doi.org/10.5334/joc.469" TargetMode="External" /><Relationship Type="http://schemas.openxmlformats.org/officeDocument/2006/relationships/hyperlink" Id="rId139" Target="https://github.com/DominiqueMakowski/cogmod" TargetMode="External" /><Relationship Type="http://schemas.openxmlformats.org/officeDocument/2006/relationships/hyperlink" Id="rId59" Target="https://github.com/DominiqueMakowski/cogmod/blob/4b10ea5e00e02984d39c0749adf8dc0b9c4ab15b/R/rt_exgaussian_brms.R#L30-L37" TargetMode="External" /><Relationship Type="http://schemas.openxmlformats.org/officeDocument/2006/relationships/hyperlink" Id="rId88" Target="https://github.com/rstudio/rmarkdown" TargetMode="External" /><Relationship Type="http://schemas.openxmlformats.org/officeDocument/2006/relationships/hyperlink" Id="rId35" Target="https://orcid.org/0000-0001-5375-9967" TargetMode="External" /><Relationship Type="http://schemas.openxmlformats.org/officeDocument/2006/relationships/hyperlink" Id="rId31" Target="https://orcid.org/0000-0001-8989-8555" TargetMode="External" /><Relationship Type="http://schemas.openxmlformats.org/officeDocument/2006/relationships/hyperlink" Id="rId27" Target="https://orcid.org/0000-0002-7459-4505" TargetMode="External" /><Relationship Type="http://schemas.openxmlformats.org/officeDocument/2006/relationships/hyperlink" Id="rId176" Target="https://yihui.org/rmarkdown-cookbook" TargetMode="External" /><Relationship Type="http://schemas.openxmlformats.org/officeDocument/2006/relationships/hyperlink" Id="rId174" Target="https://yihui.org/rmarkdown/" TargetMode="External" /><Relationship Type="http://schemas.openxmlformats.org/officeDocument/2006/relationships/hyperlink" Id="rId36" Target="mailto:drjasongeller@gmail.com" TargetMode="External" /></Relationships>
</file>

<file path=word/_rels/footnotes.xml.rels><?xml version="1.0" encoding="UTF-8"?><Relationships xmlns="http://schemas.openxmlformats.org/package/2006/relationships"><Relationship Type="http://schemas.openxmlformats.org/officeDocument/2006/relationships/hyperlink" Id="rId161" Target="https://docs.ropensci.org/rix/" TargetMode="External" /><Relationship Type="http://schemas.openxmlformats.org/officeDocument/2006/relationships/hyperlink" Id="rId168" Target="https://doi.org/10.1007/BF03395630" TargetMode="External" /><Relationship Type="http://schemas.openxmlformats.org/officeDocument/2006/relationships/hyperlink" Id="rId100" Target="https://doi.org/10.1016/j.jml.2007.10.004" TargetMode="External" /><Relationship Type="http://schemas.openxmlformats.org/officeDocument/2006/relationships/hyperlink" Id="rId115" Target="https://doi.org/10.1023/A:1023202116609" TargetMode="External" /><Relationship Type="http://schemas.openxmlformats.org/officeDocument/2006/relationships/hyperlink" Id="rId159" Target="https://doi.org/10.1037/0033-295X.83.3.190" TargetMode="External" /><Relationship Type="http://schemas.openxmlformats.org/officeDocument/2006/relationships/hyperlink" Id="rId125" Target="https://doi.org/10.1037/0096-3445.132.1.47" TargetMode="External" /><Relationship Type="http://schemas.openxmlformats.org/officeDocument/2006/relationships/hyperlink" Id="rId117" Target="https://doi.org/10.1037/0278-7393.10.4.680" TargetMode="External" /><Relationship Type="http://schemas.openxmlformats.org/officeDocument/2006/relationships/hyperlink" Id="rId172" Target="https://doi.org/10.1037/1082-989X.8.3.254" TargetMode="External" /><Relationship Type="http://schemas.openxmlformats.org/officeDocument/2006/relationships/hyperlink" Id="rId131" Target="https://doi.org/10.1037/xlm0001239" TargetMode="External" /><Relationship Type="http://schemas.openxmlformats.org/officeDocument/2006/relationships/hyperlink" Id="rId163" Target="https://doi.org/10.1080/23273798.2026.2657830" TargetMode="External" /><Relationship Type="http://schemas.openxmlformats.org/officeDocument/2006/relationships/hyperlink" Id="rId127" Target="https://doi.org/10.1109/TVCG.2023.3327195" TargetMode="External" /><Relationship Type="http://schemas.openxmlformats.org/officeDocument/2006/relationships/hyperlink" Id="rId102" Target="https://doi.org/10.1137/141000671" TargetMode="External" /><Relationship Type="http://schemas.openxmlformats.org/officeDocument/2006/relationships/hyperlink" Id="rId98" Target="https://doi.org/10.1177/0963721411408885" TargetMode="External" /><Relationship Type="http://schemas.openxmlformats.org/officeDocument/2006/relationships/hyperlink" Id="rId166" Target="https://doi.org/10.1177/1745691617751884" TargetMode="External" /><Relationship Type="http://schemas.openxmlformats.org/officeDocument/2006/relationships/hyperlink" Id="rId92" Target="https://doi.org/10.1177/17470218231200338" TargetMode="External" /><Relationship Type="http://schemas.openxmlformats.org/officeDocument/2006/relationships/hyperlink" Id="rId121" Target="https://doi.org/10.1177/2515245918771329" TargetMode="External" /><Relationship Type="http://schemas.openxmlformats.org/officeDocument/2006/relationships/hyperlink" Id="rId110" Target="https://doi.org/10.18637/jss.v076.i01" TargetMode="External" /><Relationship Type="http://schemas.openxmlformats.org/officeDocument/2006/relationships/hyperlink" Id="rId104" Target="https://doi.org/10.18637/jss.v080.i01" TargetMode="External" /><Relationship Type="http://schemas.openxmlformats.org/officeDocument/2006/relationships/hyperlink" Id="rId108" Target="https://doi.org/10.18637/jss.v100.i05" TargetMode="External" /><Relationship Type="http://schemas.openxmlformats.org/officeDocument/2006/relationships/hyperlink" Id="rId137" Target="https://doi.org/10.21105/joss.01412" TargetMode="External" /><Relationship Type="http://schemas.openxmlformats.org/officeDocument/2006/relationships/hyperlink" Id="rId141" Target="https://doi.org/10.21105/joss.01541" TargetMode="External" /><Relationship Type="http://schemas.openxmlformats.org/officeDocument/2006/relationships/hyperlink" Id="rId170" Target="https://doi.org/10.21105/joss.01686" TargetMode="External" /><Relationship Type="http://schemas.openxmlformats.org/officeDocument/2006/relationships/hyperlink" Id="rId135" Target="https://doi.org/10.21105/joss.02445" TargetMode="External" /><Relationship Type="http://schemas.openxmlformats.org/officeDocument/2006/relationships/hyperlink" Id="rId143" Target="https://doi.org/10.21105/joss.07969" TargetMode="External" /><Relationship Type="http://schemas.openxmlformats.org/officeDocument/2006/relationships/hyperlink" Id="rId96" Target="https://doi.org/10.21500/20112084.807" TargetMode="External" /><Relationship Type="http://schemas.openxmlformats.org/officeDocument/2006/relationships/hyperlink" Id="rId155" Target="https://doi.org/10.31234/osf.io/ck3js_v1" TargetMode="External" /><Relationship Type="http://schemas.openxmlformats.org/officeDocument/2006/relationships/hyperlink" Id="rId133" Target="https://doi.org/10.32614/CRAN.package.emmeans" TargetMode="External" /><Relationship Type="http://schemas.openxmlformats.org/officeDocument/2006/relationships/hyperlink" Id="rId123" Target="https://doi.org/10.32614/CRAN.package.fs" TargetMode="External" /><Relationship Type="http://schemas.openxmlformats.org/officeDocument/2006/relationships/hyperlink" Id="rId147" Target="https://doi.org/10.32614/CRAN.package.here" TargetMode="External" /><Relationship Type="http://schemas.openxmlformats.org/officeDocument/2006/relationships/hyperlink" Id="rId149" Target="https://doi.org/10.32614/CRAN.package.patchwork" TargetMode="External" /><Relationship Type="http://schemas.openxmlformats.org/officeDocument/2006/relationships/hyperlink" Id="rId112" Target="https://doi.org/10.32614/CRAN.package.qs2" TargetMode="External" /><Relationship Type="http://schemas.openxmlformats.org/officeDocument/2006/relationships/hyperlink" Id="rId151" Target="https://doi.org/10.32614/CRAN.package.ragg" TargetMode="External" /><Relationship Type="http://schemas.openxmlformats.org/officeDocument/2006/relationships/hyperlink" Id="rId94" Target="https://doi.org/10.32614/CRAN.package.tinytable" TargetMode="External" /><Relationship Type="http://schemas.openxmlformats.org/officeDocument/2006/relationships/hyperlink" Id="rId106" Target="https://doi.org/10.32614/RJ-2018-017" TargetMode="External" /><Relationship Type="http://schemas.openxmlformats.org/officeDocument/2006/relationships/hyperlink" Id="rId157" Target="https://doi.org/10.32614/r.manuals" TargetMode="External" /><Relationship Type="http://schemas.openxmlformats.org/officeDocument/2006/relationships/hyperlink" Id="rId145" Target="https://doi.org/10.3758/PBR.16.5.798" TargetMode="External" /><Relationship Type="http://schemas.openxmlformats.org/officeDocument/2006/relationships/hyperlink" Id="rId153" Target="https://doi.org/10.3758/s13428-018-01193-y" TargetMode="External" /><Relationship Type="http://schemas.openxmlformats.org/officeDocument/2006/relationships/hyperlink" Id="rId90" Target="https://doi.org/10.3758/s13428-021-01742-y" TargetMode="External" /><Relationship Type="http://schemas.openxmlformats.org/officeDocument/2006/relationships/hyperlink" Id="rId129" Target="https://doi.org/10.5281/zenodo.3879620" TargetMode="External" /><Relationship Type="http://schemas.openxmlformats.org/officeDocument/2006/relationships/hyperlink" Id="rId119" Target="https://doi.org/10.5334/joc.469" TargetMode="External" /><Relationship Type="http://schemas.openxmlformats.org/officeDocument/2006/relationships/hyperlink" Id="rId139" Target="https://github.com/DominiqueMakowski/cogmod" TargetMode="External" /><Relationship Type="http://schemas.openxmlformats.org/officeDocument/2006/relationships/hyperlink" Id="rId59" Target="https://github.com/DominiqueMakowski/cogmod/blob/4b10ea5e00e02984d39c0749adf8dc0b9c4ab15b/R/rt_exgaussian_brms.R#L30-L37" TargetMode="External" /><Relationship Type="http://schemas.openxmlformats.org/officeDocument/2006/relationships/hyperlink" Id="rId88" Target="https://github.com/rstudio/rmarkdown" TargetMode="External" /><Relationship Type="http://schemas.openxmlformats.org/officeDocument/2006/relationships/hyperlink" Id="rId35" Target="https://orcid.org/0000-0001-5375-9967" TargetMode="External" /><Relationship Type="http://schemas.openxmlformats.org/officeDocument/2006/relationships/hyperlink" Id="rId31" Target="https://orcid.org/0000-0001-8989-8555" TargetMode="External" /><Relationship Type="http://schemas.openxmlformats.org/officeDocument/2006/relationships/hyperlink" Id="rId27" Target="https://orcid.org/0000-0002-7459-4505" TargetMode="External" /><Relationship Type="http://schemas.openxmlformats.org/officeDocument/2006/relationships/hyperlink" Id="rId176" Target="https://yihui.org/rmarkdown-cookbook" TargetMode="External" /><Relationship Type="http://schemas.openxmlformats.org/officeDocument/2006/relationships/hyperlink" Id="rId174" Target="https://yihui.org/rmarkdown/" TargetMode="External" /><Relationship Type="http://schemas.openxmlformats.org/officeDocument/2006/relationships/hyperlink" Id="rId36" Target="mailto:drjasongelle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EX-GAUSSIAN PARAMETERIZATION IN BRMS</dc:description>
  <cp:keywords>ex-Gaussian, reaction time, Bayesian estimation, brms, parameterization</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True</vt:lpwstr>
  </property>
  <property fmtid="{D5CDD505-2E9C-101B-9397-08002B2CF9AE}" pid="4" name="apaabstract">
    <vt:lpwstr>The ex-Gaussian distribution is a popular mathematical model for analyzing response time (RT) data because it separates the central portion of the distribution, captured by the Gaussian parameters \mu and \sigma, from the positively skewed tail, captured by the exponential parameter \tau. Researchers often use these parameters to make inferences about underlying cognitive processes. As Bayesian methods have become increasingly accessible, complex ex-Gaussian models can now be fit with relative ease, and in R, the {brms} package makes this especially straightforward. However, it is important to recognize that the default parameterization offered by {brms} does not map onto the classical parameterization familiar to many researchers in experimental psychology in the default model, \mu indexes the mean of the full ex-Gaussian distribution rather than the location of the Gaussian component alone. This distinction matters because changes in the Gaussian location and changes in the exponential tail can offset one another at the level of the overall mean, so some published studies may have drawn incorrect inferences from effects estimated on the default \mu parameter. Using simulated data and a published finding we highlight how using the default parameterization can lead to misleading inferences. We then demonstrate how to fit the classical parameterization directly using the {cogmod} package, with the aim of helping researchers and reviewers align ex-Gaussian model parameters with their theoretical questions.</vt:lpwstr>
  </property>
  <property fmtid="{D5CDD505-2E9C-101B-9397-08002B2CF9AE}" pid="5" name="apaauthor">
    <vt:lpwstr/>
  </property>
  <property fmtid="{D5CDD505-2E9C-101B-9397-08002B2CF9AE}" pid="6" name="apadate">
    <vt:lpwstr>2026-09-13</vt:lpwstr>
  </property>
  <property fmtid="{D5CDD505-2E9C-101B-9397-08002B2CF9AE}" pid="7" name="apatitle">
    <vt:lpwstr>This Is Not the ex-Gaussian Model You Are Looking For: On the Default Parameterization of Bayesian ex-Gaussian Models in brms</vt:lpwstr>
  </property>
  <property fmtid="{D5CDD505-2E9C-101B-9397-08002B2CF9AE}" pid="8" name="apatitledisplay">
    <vt:lpwstr>This Is Not the ex-Gaussian Model You Are Looking For: On the Default Parameterization of Bayesian ex-Gaussian Models in brms</vt:lpwstr>
  </property>
  <property fmtid="{D5CDD505-2E9C-101B-9397-08002B2CF9AE}" pid="9" name="author-note">
    <vt:lpwstr/>
  </property>
  <property fmtid="{D5CDD505-2E9C-101B-9397-08002B2CF9AE}" pid="10" name="authors">
    <vt:lpwstr/>
  </property>
  <property fmtid="{D5CDD505-2E9C-101B-9397-08002B2CF9AE}" pid="11" name="biblio-config">
    <vt:lpwstr>True</vt:lpwstr>
  </property>
  <property fmtid="{D5CDD505-2E9C-101B-9397-08002B2CF9AE}" pid="12" name="by-affiliation">
    <vt:lpwstr/>
  </property>
  <property fmtid="{D5CDD505-2E9C-101B-9397-08002B2CF9AE}" pid="13" name="by-author">
    <vt:lpwstr/>
  </property>
  <property fmtid="{D5CDD505-2E9C-101B-9397-08002B2CF9AE}" pid="14" name="cap-location">
    <vt:lpwstr>top</vt:lpwstr>
  </property>
  <property fmtid="{D5CDD505-2E9C-101B-9397-08002B2CF9AE}" pid="15" name="crossref">
    <vt:lpwstr/>
  </property>
  <property fmtid="{D5CDD505-2E9C-101B-9397-08002B2CF9AE}" pid="16" name="csl">
    <vt:lpwstr>_extensions/wjschne/apaquarto/apa.csl</vt:lpwstr>
  </property>
  <property fmtid="{D5CDD505-2E9C-101B-9397-08002B2CF9AE}" pid="17" name="documentmode">
    <vt:lpwstr>man</vt:lpwstr>
  </property>
  <property fmtid="{D5CDD505-2E9C-101B-9397-08002B2CF9AE}" pid="18" name="engines">
    <vt:lpwstr/>
  </property>
  <property fmtid="{D5CDD505-2E9C-101B-9397-08002B2CF9AE}" pid="19" name="fig-cap-location">
    <vt:lpwstr>top</vt:lpwstr>
  </property>
  <property fmtid="{D5CDD505-2E9C-101B-9397-08002B2CF9AE}" pid="20" name="floatsintext">
    <vt:lpwstr>True</vt:lpwstr>
  </property>
  <property fmtid="{D5CDD505-2E9C-101B-9397-08002B2CF9AE}" pid="21" name="header-includes">
    <vt:lpwstr/>
  </property>
  <property fmtid="{D5CDD505-2E9C-101B-9397-08002B2CF9AE}" pid="22" name="include-after">
    <vt:lpwstr/>
  </property>
  <property fmtid="{D5CDD505-2E9C-101B-9397-08002B2CF9AE}" pid="23" name="include-before">
    <vt:lpwstr/>
  </property>
  <property fmtid="{D5CDD505-2E9C-101B-9397-08002B2CF9AE}" pid="24" name="jou-running-authors">
    <vt:lpwstr>Geller, Angele, &amp; Makowski</vt:lpwstr>
  </property>
  <property fmtid="{D5CDD505-2E9C-101B-9397-08002B2CF9AE}" pid="25" name="knitr">
    <vt:lpwstr/>
  </property>
  <property fmtid="{D5CDD505-2E9C-101B-9397-08002B2CF9AE}" pid="26" name="labels">
    <vt:lpwstr/>
  </property>
  <property fmtid="{D5CDD505-2E9C-101B-9397-08002B2CF9AE}" pid="27" name="language">
    <vt:lpwstr/>
  </property>
  <property fmtid="{D5CDD505-2E9C-101B-9397-08002B2CF9AE}" pid="28" name="link-citations">
    <vt:lpwstr>True</vt:lpwstr>
  </property>
  <property fmtid="{D5CDD505-2E9C-101B-9397-08002B2CF9AE}" pid="29" name="no-ampersand-parenthetical">
    <vt:lpwstr>False</vt:lpwstr>
  </property>
  <property fmtid="{D5CDD505-2E9C-101B-9397-08002B2CF9AE}" pid="30" name="number-depth">
    <vt:lpwstr>3</vt:lpwstr>
  </property>
  <property fmtid="{D5CDD505-2E9C-101B-9397-08002B2CF9AE}" pid="31" name="numbered-lines">
    <vt:lpwstr>True</vt:lpwstr>
  </property>
  <property fmtid="{D5CDD505-2E9C-101B-9397-08002B2CF9AE}" pid="32" name="numbersections">
    <vt:lpwstr>False</vt:lpwstr>
  </property>
  <property fmtid="{D5CDD505-2E9C-101B-9397-08002B2CF9AE}" pid="33" name="oneaffiliation">
    <vt:lpwstr>False</vt:lpwstr>
  </property>
  <property fmtid="{D5CDD505-2E9C-101B-9397-08002B2CF9AE}" pid="34" name="oneauthor">
    <vt:lpwstr>False</vt:lpwstr>
  </property>
  <property fmtid="{D5CDD505-2E9C-101B-9397-08002B2CF9AE}" pid="35" name="references">
    <vt:lpwstr/>
  </property>
  <property fmtid="{D5CDD505-2E9C-101B-9397-08002B2CF9AE}" pid="36" name="revealjs-plugins">
    <vt:lpwstr/>
  </property>
  <property fmtid="{D5CDD505-2E9C-101B-9397-08002B2CF9AE}" pid="37" name="shorttitle">
    <vt:lpwstr>EX-GAUSSIAN PARAMETERIZATION IN BRMS</vt:lpwstr>
  </property>
  <property fmtid="{D5CDD505-2E9C-101B-9397-08002B2CF9AE}" pid="38" name="suppress-abstract">
    <vt:lpwstr>False</vt:lpwstr>
  </property>
  <property fmtid="{D5CDD505-2E9C-101B-9397-08002B2CF9AE}" pid="39" name="suppress-affiliation">
    <vt:lpwstr>False</vt:lpwstr>
  </property>
  <property fmtid="{D5CDD505-2E9C-101B-9397-08002B2CF9AE}" pid="40" name="suppress-author">
    <vt:lpwstr>False</vt:lpwstr>
  </property>
  <property fmtid="{D5CDD505-2E9C-101B-9397-08002B2CF9AE}" pid="41" name="suppress-author-note">
    <vt:lpwstr>False</vt:lpwstr>
  </property>
  <property fmtid="{D5CDD505-2E9C-101B-9397-08002B2CF9AE}" pid="42" name="suppress-corresponding-address">
    <vt:lpwstr>False</vt:lpwstr>
  </property>
  <property fmtid="{D5CDD505-2E9C-101B-9397-08002B2CF9AE}" pid="43" name="suppress-corresponding-affiliation-name">
    <vt:lpwstr>False</vt:lpwstr>
  </property>
  <property fmtid="{D5CDD505-2E9C-101B-9397-08002B2CF9AE}" pid="44" name="suppress-corresponding-city">
    <vt:lpwstr>False</vt:lpwstr>
  </property>
  <property fmtid="{D5CDD505-2E9C-101B-9397-08002B2CF9AE}" pid="45" name="suppress-corresponding-country">
    <vt:lpwstr>False</vt:lpwstr>
  </property>
  <property fmtid="{D5CDD505-2E9C-101B-9397-08002B2CF9AE}" pid="46" name="suppress-corresponding-department">
    <vt:lpwstr>False</vt:lpwstr>
  </property>
  <property fmtid="{D5CDD505-2E9C-101B-9397-08002B2CF9AE}" pid="47" name="suppress-corresponding-email">
    <vt:lpwstr>False</vt:lpwstr>
  </property>
  <property fmtid="{D5CDD505-2E9C-101B-9397-08002B2CF9AE}" pid="48" name="suppress-corresponding-group">
    <vt:lpwstr>False</vt:lpwstr>
  </property>
  <property fmtid="{D5CDD505-2E9C-101B-9397-08002B2CF9AE}" pid="49" name="suppress-corresponding-paragraph">
    <vt:lpwstr>False</vt:lpwstr>
  </property>
  <property fmtid="{D5CDD505-2E9C-101B-9397-08002B2CF9AE}" pid="50" name="suppress-corresponding-postal-code">
    <vt:lpwstr>False</vt:lpwstr>
  </property>
  <property fmtid="{D5CDD505-2E9C-101B-9397-08002B2CF9AE}" pid="51" name="suppress-corresponding-region">
    <vt:lpwstr>False</vt:lpwstr>
  </property>
  <property fmtid="{D5CDD505-2E9C-101B-9397-08002B2CF9AE}" pid="52" name="suppress-credit-statement">
    <vt:lpwstr>False</vt:lpwstr>
  </property>
  <property fmtid="{D5CDD505-2E9C-101B-9397-08002B2CF9AE}" pid="53" name="suppress-disclosures-paragraph">
    <vt:lpwstr>False</vt:lpwstr>
  </property>
  <property fmtid="{D5CDD505-2E9C-101B-9397-08002B2CF9AE}" pid="54" name="suppress-impact-statement">
    <vt:lpwstr>False</vt:lpwstr>
  </property>
  <property fmtid="{D5CDD505-2E9C-101B-9397-08002B2CF9AE}" pid="55" name="suppress-keywords">
    <vt:lpwstr>False</vt:lpwstr>
  </property>
  <property fmtid="{D5CDD505-2E9C-101B-9397-08002B2CF9AE}" pid="56" name="suppress-orcid">
    <vt:lpwstr>False</vt:lpwstr>
  </property>
  <property fmtid="{D5CDD505-2E9C-101B-9397-08002B2CF9AE}" pid="57" name="suppress-short-title">
    <vt:lpwstr>False</vt:lpwstr>
  </property>
  <property fmtid="{D5CDD505-2E9C-101B-9397-08002B2CF9AE}" pid="58" name="suppress-status-change-paragraph">
    <vt:lpwstr>False</vt:lpwstr>
  </property>
  <property fmtid="{D5CDD505-2E9C-101B-9397-08002B2CF9AE}" pid="59" name="suppress-supplemental-materials">
    <vt:lpwstr>False</vt:lpwstr>
  </property>
  <property fmtid="{D5CDD505-2E9C-101B-9397-08002B2CF9AE}" pid="60" name="suppress-title">
    <vt:lpwstr>False</vt:lpwstr>
  </property>
  <property fmtid="{D5CDD505-2E9C-101B-9397-08002B2CF9AE}" pid="61" name="suppress-title-introduction">
    <vt:lpwstr>False</vt:lpwstr>
  </property>
  <property fmtid="{D5CDD505-2E9C-101B-9397-08002B2CF9AE}" pid="62" name="suppress-title-page">
    <vt:lpwstr>False</vt:lpwstr>
  </property>
  <property fmtid="{D5CDD505-2E9C-101B-9397-08002B2CF9AE}" pid="63" name="suppress-title-page-number">
    <vt:lpwstr>False</vt:lpwstr>
  </property>
  <property fmtid="{D5CDD505-2E9C-101B-9397-08002B2CF9AE}" pid="64" name="tbl-cap-location">
    <vt:lpwstr>top</vt:lpwstr>
  </property>
  <property fmtid="{D5CDD505-2E9C-101B-9397-08002B2CF9AE}" pid="65" name="toc-title">
    <vt:lpwstr>Table of contents</vt:lpwstr>
  </property>
  <property fmtid="{D5CDD505-2E9C-101B-9397-08002B2CF9AE}" pid="66" name="word-count">
    <vt:lpwstr>True</vt:lpwstr>
  </property>
  <property fmtid="{D5CDD505-2E9C-101B-9397-08002B2CF9AE}" pid="67" name="wordn">
    <vt:lpwstr>5202</vt:lpwstr>
  </property>
  <property fmtid="{D5CDD505-2E9C-101B-9397-08002B2CF9AE}" pid="68" name="zerocitations">
    <vt:lpwstr>False</vt:lpwstr>
  </property>
</Properties>
</file>